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BE" w:rsidRPr="005F4D21" w:rsidRDefault="00F506BE" w:rsidP="00B146BE">
      <w:pPr>
        <w:spacing w:after="0" w:line="276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referencyjny</w:t>
      </w:r>
      <w:r w:rsidRPr="005F4D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 </w:t>
      </w:r>
      <w:r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ZK-PU/0</w:t>
      </w:r>
      <w:r w:rsidR="00083B67"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/0</w:t>
      </w:r>
      <w:r w:rsidR="00083B67"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/20</w:t>
      </w:r>
      <w:r w:rsidR="005500F3"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5F4D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bookmarkEnd w:id="0"/>
    <w:p w:rsidR="0058291D" w:rsidRPr="00D67FD1" w:rsidRDefault="00B14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ZAŁ</w:t>
      </w:r>
      <w:r w:rsidR="00221170" w:rsidRPr="00D67FD1">
        <w:rPr>
          <w:rFonts w:ascii="Times New Roman" w:hAnsi="Times New Roman" w:cs="Times New Roman"/>
          <w:b/>
          <w:sz w:val="20"/>
          <w:szCs w:val="20"/>
        </w:rPr>
        <w:t>Ą</w:t>
      </w:r>
      <w:r w:rsidR="00F506BE" w:rsidRPr="00D67FD1">
        <w:rPr>
          <w:rFonts w:ascii="Times New Roman" w:hAnsi="Times New Roman" w:cs="Times New Roman"/>
          <w:b/>
          <w:sz w:val="20"/>
          <w:szCs w:val="20"/>
        </w:rPr>
        <w:t>CZNIK NR 4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DO II CZĘŚCI SIWZ</w:t>
      </w:r>
    </w:p>
    <w:p w:rsidR="00CF28EF" w:rsidRPr="00D67FD1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_Hlk498970923"/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7604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Default="006E65A8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z</w:t>
      </w:r>
      <w:r w:rsidR="00865F0D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adani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="00865F0D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 „Dostawa specjalistycznych pojazdów do odbioru odpadów</w:t>
      </w:r>
      <w:r w:rsidR="007604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II</w:t>
      </w:r>
      <w:r w:rsidR="00865F0D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 w:rsidR="00FB48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Zakład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Kanalizacyjnej Sp. z o.o.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97-200 Tomaszów Mazowiecki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ul. Kępa 19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tel./fax 044 - 724- 22- 92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NIP PL 773-21-71-153 REGON 590761733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KRS: 0000125241 Sąd Rejonowy dla Łodzi Śródmieścia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XX Wydział KRS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 dostawa</w:t>
      </w:r>
      <w:r w:rsidR="006E65A8">
        <w:rPr>
          <w:rFonts w:ascii="Times New Roman" w:hAnsi="Times New Roman" w:cs="Times New Roman"/>
          <w:sz w:val="20"/>
          <w:szCs w:val="20"/>
        </w:rPr>
        <w:t>, w ramach przedmiotowego zadania,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pojazdów specjalistycznych typu </w:t>
      </w:r>
      <w:r w:rsidR="006E65A8" w:rsidRPr="006E65A8">
        <w:rPr>
          <w:rFonts w:ascii="Times New Roman" w:hAnsi="Times New Roman" w:cs="Times New Roman"/>
          <w:sz w:val="20"/>
          <w:szCs w:val="20"/>
        </w:rPr>
        <w:t>śmieciark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jednokomorow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trzyosiow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przystosowan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do odbioru odpadów wielkogabarytowych</w:t>
      </w:r>
      <w:r w:rsidR="006E65A8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oraz </w:t>
      </w:r>
      <w:r w:rsidR="006E65A8" w:rsidRPr="006E65A8">
        <w:rPr>
          <w:rFonts w:ascii="Times New Roman" w:hAnsi="Times New Roman" w:cs="Times New Roman"/>
          <w:sz w:val="20"/>
          <w:szCs w:val="20"/>
        </w:rPr>
        <w:t>śmieciark</w:t>
      </w:r>
      <w:r w:rsidR="00AF6264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dwukomorow</w:t>
      </w:r>
      <w:r w:rsidR="00AF6264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trzyosiow</w:t>
      </w:r>
      <w:r w:rsidR="00AF6264">
        <w:rPr>
          <w:rFonts w:ascii="Times New Roman" w:hAnsi="Times New Roman" w:cs="Times New Roman"/>
          <w:sz w:val="20"/>
          <w:szCs w:val="20"/>
        </w:rPr>
        <w:t>a</w:t>
      </w:r>
      <w:r w:rsidR="006E65A8">
        <w:rPr>
          <w:rFonts w:ascii="Times New Roman" w:hAnsi="Times New Roman" w:cs="Times New Roman"/>
          <w:sz w:val="20"/>
          <w:szCs w:val="20"/>
        </w:rPr>
        <w:t>,</w:t>
      </w:r>
      <w:r w:rsidRPr="00D67FD1">
        <w:rPr>
          <w:rFonts w:ascii="Times New Roman" w:hAnsi="Times New Roman" w:cs="Times New Roman"/>
          <w:sz w:val="20"/>
          <w:szCs w:val="20"/>
        </w:rPr>
        <w:t xml:space="preserve"> na potrzeby Zakładu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Kanalizacyjnego w Tomaszowie Mazowieckim</w:t>
      </w:r>
      <w:r w:rsidR="006E65A8">
        <w:rPr>
          <w:rFonts w:ascii="Times New Roman" w:hAnsi="Times New Roman" w:cs="Times New Roman"/>
          <w:sz w:val="20"/>
          <w:szCs w:val="20"/>
        </w:rPr>
        <w:t xml:space="preserve"> Sp. z o.o.</w:t>
      </w:r>
      <w:r w:rsidRPr="00D67FD1">
        <w:rPr>
          <w:rFonts w:ascii="Times New Roman" w:hAnsi="Times New Roman" w:cs="Times New Roman"/>
          <w:sz w:val="20"/>
          <w:szCs w:val="20"/>
        </w:rPr>
        <w:t>, zgodnie z poniższą specyfikacją techniczną</w:t>
      </w:r>
      <w:r w:rsidR="00853AA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oferowane pojazdy powinny być wyposażone zgodnie z wymogami: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§ 5 ust.1 Rozporządzenia Ministra Środowiska, w zakresie wymagań technicznych dotyczących wyposażenia pojazdów należy zapewnić, aby: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konstrukcja pojazdów zabezpieczała przed rozwiewaniem i rozpylaniem przewożonych odpadów oraz minimalizowała oddziaływanie czynników atmosferycznych na odpady;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pojazdy były wyposażone w system: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czujników zapisujących dane o miejscach wyładunku odpadów </w:t>
      </w:r>
    </w:p>
    <w:p w:rsid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– umożliwiający weryfikację tych danych.</w:t>
      </w:r>
    </w:p>
    <w:p w:rsidR="009145A2" w:rsidRDefault="009145A2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bookmarkStart w:id="2" w:name="_Hlk29891537"/>
      <w:r w:rsidRPr="00765C11">
        <w:rPr>
          <w:rFonts w:ascii="Calibri" w:hAnsi="Calibri"/>
          <w:b/>
          <w:bCs/>
        </w:rPr>
        <w:t>Śmieciarka jednokomorowa trzyosiowa przystosowana do odbioru odpadów wielkogabarytowych</w:t>
      </w:r>
      <w:bookmarkEnd w:id="2"/>
      <w:r w:rsidRPr="00765C11">
        <w:rPr>
          <w:rFonts w:ascii="Calibri" w:hAnsi="Calibri"/>
          <w:b/>
          <w:bCs/>
        </w:rPr>
        <w:t xml:space="preserve"> -Szczegółowy opis przedmiotu zamówienia:</w:t>
      </w: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 Podwozie:</w:t>
      </w:r>
    </w:p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986"/>
        <w:gridCol w:w="8076"/>
      </w:tblGrid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spacing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L.p.</w:t>
            </w: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Parametr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960CBD">
              <w:rPr>
                <w:rFonts w:eastAsiaTheme="minorEastAsia" w:cstheme="minorHAnsi"/>
                <w:color w:val="000000" w:themeColor="text1"/>
              </w:rPr>
              <w:t>Podwozie fabrycznie nowe rok produkcji - 2020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960CBD">
              <w:rPr>
                <w:rFonts w:eastAsiaTheme="minorEastAsia" w:cstheme="minorHAnsi"/>
                <w:color w:val="000000" w:themeColor="text1"/>
              </w:rPr>
              <w:t>Dopuszczalna masa całkowita – minimum 26 ton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Dopuszczalna ładowność - minimum 9 ton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Rozstaw osi między pierwszą a drugą 3600 ÷ 4000 mm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Zbiornik paliwa minimum 210 litrów z zamykanym korkiem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Zbiornik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AdBlue</w:t>
            </w:r>
            <w:proofErr w:type="spellEnd"/>
            <w:r w:rsidRPr="00960CBD">
              <w:rPr>
                <w:rFonts w:cstheme="minorHAnsi"/>
                <w:color w:val="000000" w:themeColor="text1"/>
              </w:rPr>
              <w:t xml:space="preserve"> minimum 30 litrów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Norma emisji spalin: EURO 6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Silnik wysokoprężny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Common-Rail</w:t>
            </w:r>
            <w:proofErr w:type="spellEnd"/>
            <w:r w:rsidRPr="00960CBD">
              <w:rPr>
                <w:rFonts w:cstheme="minorHAnsi"/>
                <w:color w:val="000000" w:themeColor="text1"/>
              </w:rPr>
              <w:t xml:space="preserve"> o pojemności skokowej mieszczący się w przedziale 7,6 – 11,0 litra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Moc silnika min. 300 KM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Maksymalny moment obrotowy silnika - minimum 1200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Nm</w:t>
            </w:r>
            <w:proofErr w:type="spellEnd"/>
            <w:r w:rsidRPr="00960CBD">
              <w:rPr>
                <w:rFonts w:cstheme="minorHAnsi"/>
                <w:color w:val="000000" w:themeColor="text1"/>
              </w:rPr>
              <w:t xml:space="preserve"> max 1800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Nm</w:t>
            </w:r>
            <w:proofErr w:type="spellEnd"/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System oczyszczania spalin SCR, DPF z EGR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Elektroniczne ograniczenie prędkości</w:t>
            </w:r>
            <w:r>
              <w:rPr>
                <w:rFonts w:cstheme="minorHAnsi"/>
                <w:color w:val="000000" w:themeColor="text1"/>
              </w:rPr>
              <w:t xml:space="preserve"> do 90 km/h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Zautomatyzowana skrzynia biegów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Filtr paliwa podgrzewany z separatorem wody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Przednie zawieszenie- resory paraboliczne - minimum 8 ton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Stabilizator osi przedniej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Nośność osi wleczonej/pchanej - minimum 7,5 tony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Nośność tylnego zawieszenia – minimum 18 ton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Oś tylna wleczona, </w:t>
            </w:r>
            <w:r>
              <w:rPr>
                <w:rFonts w:cstheme="minorHAnsi"/>
                <w:color w:val="000000" w:themeColor="text1"/>
              </w:rPr>
              <w:t>skrętna</w:t>
            </w:r>
            <w:r w:rsidRPr="00960CBD">
              <w:rPr>
                <w:rFonts w:cstheme="minorHAnsi"/>
                <w:color w:val="000000" w:themeColor="text1"/>
              </w:rPr>
              <w:t xml:space="preserve"> i odciążana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Blokada mechanizmu różnicowego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Zawieszenie pneumatyczne z 3 poziomami do jazdy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Koła 22,5 z oponami 315/80R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960CBD">
              <w:rPr>
                <w:rFonts w:cstheme="minorHAnsi"/>
                <w:color w:val="000000" w:themeColor="text1"/>
              </w:rPr>
              <w:t>lub z oponami 295/80R lub 305/70R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Hamulec osi przedniej i tylnej - tarczowy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Układ hamulcowy z systemem ABS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System ASR i ESP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Asystent utrzymywania pojazdu na zadanym pasie ruchu lub system ostrzegania o opuszczeniu pasa ruchu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Hamulec silnikowy lub zwalniacz opierający działanie na turbosprężarce ze zmienną geometrią oraz zaworze zwrotnym ciśnienia znajdującym się w układzie wydechowym.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Oświetlenie zgodne z obowiązującymi przepisami o ruchu drogowym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D5708C">
              <w:rPr>
                <w:rFonts w:ascii="Calibri" w:hAnsi="Calibri"/>
              </w:rPr>
              <w:t>Reflektory główne halogenowe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Światła do jazdy dziennej LED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Lampy przeciwmgielne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D5708C">
              <w:rPr>
                <w:rFonts w:ascii="Calibri" w:hAnsi="Calibri"/>
              </w:rPr>
              <w:t>2 pomarańczowe lampy rotacyjne w przedniej części dachu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Boczne osłony </w:t>
            </w:r>
            <w:proofErr w:type="spellStart"/>
            <w:r>
              <w:rPr>
                <w:rFonts w:cstheme="minorHAnsi"/>
                <w:color w:val="000000" w:themeColor="text1"/>
              </w:rPr>
              <w:t>przeciwnajazdowe</w:t>
            </w:r>
            <w:proofErr w:type="spellEnd"/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Default="00DC54CF" w:rsidP="00DC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Chlapacze przeciwrozbryzgowe przód i tył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Tempomat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Komputer pokładowy</w:t>
            </w:r>
            <w:r>
              <w:rPr>
                <w:rFonts w:cstheme="minorHAnsi"/>
                <w:color w:val="000000" w:themeColor="text1"/>
              </w:rPr>
              <w:t xml:space="preserve"> z podstawowym językiem polskim komunikatów dla kierowcy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Gniazdo 12V + 24 V na desce rozdzielczej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Przystawka odbioru mocy spełniająca wymagania zabudowy śmieciarki / przystawka od silnikowa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Układ kierowniczy ze wspomaganiem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Koło kierownicy z regulowaną wysokością i pochyleniem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Fabryczny immobiliser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Akumulatory 12V min. 170Ah - 2 szt. (niewymagające konserwacji)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Klimatyzacja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Centralny zamek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Elektrycznie sterowane szyby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Skalibrowany t</w:t>
            </w:r>
            <w:r w:rsidRPr="00960CBD">
              <w:rPr>
                <w:rFonts w:cstheme="minorHAnsi"/>
                <w:color w:val="000000" w:themeColor="text1"/>
              </w:rPr>
              <w:t>achograf cyfrowy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Radio wraz z odtwarzaczem CD lub ze złączem USB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Wbudowany zestaw głośnomówiący </w:t>
            </w:r>
            <w:proofErr w:type="spellStart"/>
            <w:r>
              <w:rPr>
                <w:rFonts w:cstheme="minorHAnsi"/>
                <w:color w:val="000000" w:themeColor="text1"/>
              </w:rPr>
              <w:t>bluetooth</w:t>
            </w:r>
            <w:proofErr w:type="spellEnd"/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Wyposażenie w standardowe anteny: AM/FM, GSM i GPS oraz dodatkową antenę CB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Pod</w:t>
            </w:r>
            <w:r w:rsidRPr="00960CBD">
              <w:rPr>
                <w:rFonts w:cstheme="minorHAnsi"/>
                <w:color w:val="000000" w:themeColor="text1"/>
              </w:rPr>
              <w:t>grzewane i elektrycznie regulowane lusterka wsteczne zgodnie</w:t>
            </w:r>
            <w:r w:rsidRPr="00960CBD">
              <w:rPr>
                <w:rFonts w:cstheme="minorHAnsi"/>
                <w:color w:val="000000" w:themeColor="text1"/>
              </w:rPr>
              <w:br/>
              <w:t>z obowiązującymi przepisami o ruchu drogowym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Lusterko krawężnikowe prawe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Siedzenie kierowcy z zawieszeniem pneumatycznym</w:t>
            </w:r>
            <w:r>
              <w:rPr>
                <w:rFonts w:cstheme="minorHAnsi"/>
                <w:color w:val="000000" w:themeColor="text1"/>
              </w:rPr>
              <w:t>, podgrzewane z regulacją odcinka lędźwiowego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Kabina dzienna, kolor biały RAL 9010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Ilość miejsc w kabinie</w:t>
            </w:r>
            <w:r>
              <w:rPr>
                <w:rFonts w:cstheme="minorHAnsi"/>
                <w:color w:val="000000" w:themeColor="text1"/>
              </w:rPr>
              <w:t>:</w:t>
            </w:r>
            <w:r w:rsidRPr="00960CBD">
              <w:rPr>
                <w:rFonts w:cstheme="minorHAnsi"/>
                <w:color w:val="000000" w:themeColor="text1"/>
              </w:rPr>
              <w:t xml:space="preserve"> 3 miejsca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Pokrowce na wszystkie siedzenia 2 komplety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Mechaniczna roleta przeciwsłoneczna przedniej szyby lub zewnętrzna przyciemniona osłona przeciwsłoneczna przedniej szyby, oraz odchylanych przysłon dla kierowcy i pasażera wewnątrz pojazdu lub uchylna osłona/klapek przeciwsłonecznych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Szyba przednia przyciemniona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Kliny zabezpieczające umieszczane pod kołami pojazdu min. 2 szt.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Gaśnica</w:t>
            </w:r>
            <w:r>
              <w:rPr>
                <w:rFonts w:cstheme="minorHAnsi"/>
                <w:color w:val="000000" w:themeColor="text1"/>
              </w:rPr>
              <w:t xml:space="preserve"> – 2 szt.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Trójkąt ostrzegawczy – 2 szt.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Gumowe dywaniki podłogowe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Apteczka pierwszej pomocy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Kompletny zestaw kluczy naprawczych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bookmarkStart w:id="3" w:name="_Hlk34647587"/>
            <w:r w:rsidRPr="00960CBD">
              <w:rPr>
                <w:rFonts w:cstheme="minorHAnsi"/>
                <w:color w:val="000000" w:themeColor="text1"/>
              </w:rPr>
              <w:t>Pełnowymiarowe koło zapasowe i lewarek hydrauliczny dostosowany do pojazdu</w:t>
            </w:r>
            <w:bookmarkEnd w:id="3"/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Wąż do pompowania kół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D5708C">
              <w:rPr>
                <w:rFonts w:ascii="Calibri" w:hAnsi="Calibri"/>
              </w:rPr>
              <w:t>Kompresor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Dwa sygnały ostrzegawcze przy cofaniu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-sygnał dźwiękowy</w:t>
            </w:r>
          </w:p>
          <w:p w:rsidR="00DC54CF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-świetlna sygnalizacja cofania</w:t>
            </w:r>
          </w:p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 podłączenie do świateł roboczych zabudowy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Kabina kierowcy wyposażona w zabezpieczenie mechaniczne przed jej opadnięciem lub system podnoszenia i opuszczania kabiny za pomocą pompy hydraulicznej z zaworem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Pojazd wyposażony w listwę świetlną ostrzegawczą na dachu kabiny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Osłony na lampy zabezpieczające przed uszkodzeniami mechanicznymi</w:t>
            </w:r>
          </w:p>
        </w:tc>
      </w:tr>
      <w:tr w:rsidR="00DC54CF" w:rsidRPr="008761D9" w:rsidTr="008761D9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DC54CF" w:rsidRPr="00960CBD" w:rsidRDefault="00DC54CF" w:rsidP="00DC54CF">
            <w:pPr>
              <w:jc w:val="both"/>
              <w:rPr>
                <w:rFonts w:cstheme="minorHAnsi"/>
                <w:color w:val="000000" w:themeColor="text1"/>
              </w:rPr>
            </w:pPr>
            <w:r w:rsidRPr="00E379B6">
              <w:rPr>
                <w:rFonts w:cstheme="minorHAnsi"/>
                <w:color w:val="000000" w:themeColor="text1"/>
              </w:rPr>
              <w:t>Jeden zaczep do holowania z przodu pojazdu</w:t>
            </w:r>
          </w:p>
        </w:tc>
      </w:tr>
    </w:tbl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Zabudowa:</w:t>
      </w:r>
    </w:p>
    <w:tbl>
      <w:tblPr>
        <w:tblStyle w:val="Tabela-Siatka6"/>
        <w:tblW w:w="5000" w:type="pct"/>
        <w:tblLook w:val="04A0" w:firstRow="1" w:lastRow="0" w:firstColumn="1" w:lastColumn="0" w:noHBand="0" w:noVBand="1"/>
      </w:tblPr>
      <w:tblGrid>
        <w:gridCol w:w="986"/>
        <w:gridCol w:w="8076"/>
      </w:tblGrid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spacing w:after="160"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L.p.</w:t>
            </w: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Parametr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960CBD">
              <w:rPr>
                <w:rFonts w:eastAsiaTheme="minorEastAsia" w:cstheme="minorHAnsi"/>
                <w:color w:val="000000" w:themeColor="text1"/>
              </w:rPr>
              <w:t>Zabudowa fabrycznie nowa bezpylna rok prod</w:t>
            </w:r>
            <w:r>
              <w:rPr>
                <w:rFonts w:eastAsiaTheme="minorEastAsia" w:cstheme="minorHAnsi"/>
                <w:color w:val="000000" w:themeColor="text1"/>
              </w:rPr>
              <w:t>ukcji</w:t>
            </w:r>
            <w:r w:rsidRPr="00960CBD">
              <w:rPr>
                <w:rFonts w:eastAsiaTheme="minorEastAsia" w:cstheme="minorHAnsi"/>
                <w:color w:val="000000" w:themeColor="text1"/>
              </w:rPr>
              <w:t xml:space="preserve"> 2020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960CBD">
              <w:rPr>
                <w:rFonts w:eastAsiaTheme="minorEastAsia" w:cstheme="minorHAnsi"/>
                <w:color w:val="000000" w:themeColor="text1"/>
              </w:rPr>
              <w:t xml:space="preserve">Kolor zabudowy </w:t>
            </w:r>
            <w:r>
              <w:rPr>
                <w:rFonts w:eastAsiaTheme="minorEastAsia" w:cstheme="minorHAnsi"/>
                <w:color w:val="000000" w:themeColor="text1"/>
              </w:rPr>
              <w:t>biały z zielonymi ramkami i szarym elementem odwłoka, zgodny z kolorystyką taboru w posiadaniu zamawiającego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Pojemność zabudowy skrzyniowej jednokomorowej – minimum 19 m3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Zabudowa skrzyniowa – jednokomorowa z urządzeniem załadowczym tylnym przystosowana do zbiórki i transportu stałych odpadów gromadzonych w pojemnikach komunalnych, surowców wtórnych i odpadów wielkogabarytowych oraz BIO-odpadów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Wzmocniony mechanizm zgniatania odpadów o stopniu zagęszczenia min. 6:1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Urządzenie załadowcze tylne przystosowane do współpracy z pojemnikami o pojemności od 120 do 1100 litrów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Urządzenie załadowcze typu otwartego zgodne z normą PN – EN 840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Krawędź zasypu poniżej 1090 mm,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Płynna regulacja podnoszenia i opuszczania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Mechanizm otwierania półokrągłej klapy pojemnika 1100 l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Listwa do otwierania pojemników z gumowym amortyzatorem wstrząsów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Skrzynia ładunkowa wykonana z jednolitych blach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Wzmocnione Ściany zabudowy wykonane ze stali wysokogatunkowej Fe510 grubość stali minimum 4 mm oraz wzmocniona podłoga o grubości minimum 6 mm.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Minimum jedna klapa rewizyjna - serwisowa pozwalające na łatwy dostęp do konserwacji.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Zbiorniki na odcieki minimum 2 szt. o pojemności min. 80 litrów każdy lub 1 zbiornik o pojemnośc160 litrów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Podłoga zbiornika wykonane ze stali wysoko gatunkowej i trudnościeralnej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Hardox</w:t>
            </w:r>
            <w:proofErr w:type="spellEnd"/>
            <w:r w:rsidRPr="00960CBD">
              <w:rPr>
                <w:rFonts w:cstheme="minorHAnsi"/>
                <w:color w:val="000000" w:themeColor="text1"/>
              </w:rPr>
              <w:t xml:space="preserve"> minimum HB 400 lub równoważnej innego producenta grubość stali minimum</w:t>
            </w:r>
            <w:r>
              <w:rPr>
                <w:rFonts w:cstheme="minorHAnsi"/>
                <w:color w:val="000000" w:themeColor="text1"/>
              </w:rPr>
              <w:t xml:space="preserve"> 6</w:t>
            </w:r>
            <w:r w:rsidRPr="00960CBD">
              <w:rPr>
                <w:rFonts w:cstheme="minorHAnsi"/>
                <w:color w:val="000000" w:themeColor="text1"/>
              </w:rPr>
              <w:t xml:space="preserve"> mm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Rura odpływowa z instalacją na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Bio</w:t>
            </w:r>
            <w:proofErr w:type="spellEnd"/>
            <w:r w:rsidRPr="00960CBD">
              <w:rPr>
                <w:rFonts w:cstheme="minorHAnsi"/>
                <w:color w:val="000000" w:themeColor="text1"/>
              </w:rPr>
              <w:t xml:space="preserve"> odcieki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Wanna zasypowa wyposażona w króciec odpływowy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Objętość kosza zasypowego minimum 2,</w:t>
            </w:r>
            <w:r>
              <w:rPr>
                <w:rFonts w:cstheme="minorHAnsi"/>
                <w:color w:val="000000" w:themeColor="text1"/>
              </w:rPr>
              <w:t>5</w:t>
            </w:r>
            <w:r w:rsidRPr="00960CBD">
              <w:rPr>
                <w:rFonts w:cstheme="minorHAnsi"/>
                <w:color w:val="000000" w:themeColor="text1"/>
              </w:rPr>
              <w:t xml:space="preserve"> m3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Wzmocniona podłoga urządzenia zasypowego wykonana ze stali o twardości min HB400 i grubości minimum 8 mm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Przyciski systemu podnoszenia pojemników po obu stronach odwłoka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Przyciski kontroli zgniotu na obu stronach odwłoka (start, stop, bezpieczeństwo)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Możliwość sterowania płytą wypychającą (wysuwanie i wsuwanie) ze stanowiska na zewnątrz pojazdu z boku odwłoka lub z kabiny kierowcy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Możliwość sterowania mechanizmem załadowczym w cyklu automatycznym, ciągłym oraz pojedynczym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Prowadnice płyty wypychającej umieszczone na ścianach zabudowy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Uszczelka zamontowana dookoła płyty wypychającej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Możliwość wysunięcia płyty wypychającej poza skrzynię ładunkową celem dokładnego oczyszczenia skrzyni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Układ otrzepywania pojemników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Układ uwalniania zakleszczonych przedmiotów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Mechanizm zgniatania liniowo – płytowy (szufladowy)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Możliwość ręcznego sterowania cyklem zgniatania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Oświetlenie zgodne z obowiązującymi przepisami prawa: światła hamowania, postojowe, kierunkowskazy oraz światło alarmowe LED typu „kogut” z tyłu pojazdu</w:t>
            </w:r>
            <w:r>
              <w:rPr>
                <w:rFonts w:cstheme="minorHAnsi"/>
                <w:color w:val="000000" w:themeColor="text1"/>
              </w:rPr>
              <w:t xml:space="preserve"> – 2 szt.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Reflektor LED roboczy z tyłu </w:t>
            </w:r>
            <w:r>
              <w:rPr>
                <w:rFonts w:cstheme="minorHAnsi"/>
                <w:color w:val="000000" w:themeColor="text1"/>
              </w:rPr>
              <w:t xml:space="preserve">po obu stronach </w:t>
            </w:r>
            <w:r w:rsidRPr="00960CBD">
              <w:rPr>
                <w:rFonts w:cstheme="minorHAnsi"/>
                <w:color w:val="000000" w:themeColor="text1"/>
              </w:rPr>
              <w:t>zabudowy</w:t>
            </w:r>
            <w:r>
              <w:rPr>
                <w:rFonts w:cstheme="minorHAnsi"/>
                <w:color w:val="000000" w:themeColor="text1"/>
              </w:rPr>
              <w:t xml:space="preserve"> – 2 szt. oraz wewnątrz odwłoka – 1 szt.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CE56DA">
              <w:rPr>
                <w:rFonts w:cstheme="minorHAnsi"/>
                <w:color w:val="000000" w:themeColor="text1"/>
              </w:rPr>
              <w:t>Światło błyskowe/ostrzegawcze na zabudowie pojazdu szt. 2 (przód i tył) z osłonami chroniącymi przed uszkodzeniami mechanicznymi.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Pasy odblaskowe (ostrzegawcze) na ścianach bocznych i odwłoku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Dwa składane stopnie wraz z czujnikami automatycznie informującymi kierowcę o tym który stopień jest zajęty oraz dającymi możliwość:</w:t>
            </w:r>
          </w:p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- redukowania prędkości do 30 km/h,</w:t>
            </w:r>
          </w:p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- uniemożliwienia manewru cofania pojazdu,</w:t>
            </w:r>
          </w:p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- rozłączenia układu ugniatania.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Uchwyty dla załogi korzystającej ze stopni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Zabezpieczenie przed wjechaniem pod pojazd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System centralnego smarowania zabudowy i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wrzutnika</w:t>
            </w:r>
            <w:proofErr w:type="spellEnd"/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Przystawka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odsilnikowa</w:t>
            </w:r>
            <w:proofErr w:type="spellEnd"/>
            <w:r w:rsidRPr="00960CBD">
              <w:rPr>
                <w:rFonts w:cstheme="minorHAnsi"/>
                <w:color w:val="000000" w:themeColor="text1"/>
              </w:rPr>
              <w:t xml:space="preserve"> odbioru mocy dla pojazdów trzyosiowych PTO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Możliwość zmiany ciśnienia (stopnia zagęszczenia) w układzie hydraulicznym- wariant: surowce wtórne, odpady zielone. Regulacja ciśnienia w kabinie kierowcy w 3 poziomach lub od 0 do 100%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Dwa manometry ciśnienia oleju hydraulicznego lub ciśnienie oleju hydraulicznego wskazywane jest na wyświetlaczu panelu sterującego.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E02908">
              <w:rPr>
                <w:rFonts w:cstheme="minorHAnsi"/>
                <w:lang w:eastAsia="pl-PL"/>
              </w:rPr>
              <w:t>Kamera wsteczna z mikrofonem i monitorem kolorowym LCD minimum 7” zamontowanym w kabinie, z głośnikami, zapewniająca łączność kabiny kierowcy ze skrzynią załadunkową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Zabudowa wielokrotnie gruntowana i lakierowana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Zabudowa powinna odpowiadać wytycznym 2006/42/WE, normie PN-EN 1501-1: 2011 oraz posiadać znak CE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Odwłok wyposażony w zabezpieczenie mechaniczne przed jego opadnięciem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Uchwyt na szufelkę i miotłę</w:t>
            </w:r>
            <w:r>
              <w:rPr>
                <w:rFonts w:cstheme="minorHAnsi"/>
                <w:color w:val="000000" w:themeColor="text1"/>
              </w:rPr>
              <w:t xml:space="preserve"> z wyposażeniem w szufelkę i miotłę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Urządzenia wrzutowe przygotowane do instalacji systemu identyfikacji. Grzebień urządzenia załadowczego fabrycznie dostosowany pod montaż/instalację anten RFID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Pojazdy wyposażone w złącze systemowe, dostarczające do systemu identyfikacji RFID sygnały informujące o:</w:t>
            </w:r>
          </w:p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- otwarciu odwłoka</w:t>
            </w:r>
          </w:p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- górnym położeniu </w:t>
            </w:r>
            <w:proofErr w:type="spellStart"/>
            <w:r w:rsidRPr="00960CBD">
              <w:rPr>
                <w:rFonts w:cstheme="minorHAnsi"/>
                <w:color w:val="000000" w:themeColor="text1"/>
              </w:rPr>
              <w:t>wrzutnika</w:t>
            </w:r>
            <w:proofErr w:type="spellEnd"/>
            <w:r w:rsidRPr="00960CBD">
              <w:rPr>
                <w:rFonts w:cstheme="minorHAnsi"/>
                <w:color w:val="000000" w:themeColor="text1"/>
              </w:rPr>
              <w:t xml:space="preserve"> i jego pracy</w:t>
            </w:r>
          </w:p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- załączonej pompie przystawki mocy</w:t>
            </w:r>
          </w:p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- wysuniętej ścianie w zabudowie pojazdu   </w:t>
            </w:r>
          </w:p>
        </w:tc>
      </w:tr>
      <w:tr w:rsidR="00DC54CF" w:rsidRPr="008761D9" w:rsidTr="00DC54CF">
        <w:trPr>
          <w:cantSplit/>
        </w:trPr>
        <w:tc>
          <w:tcPr>
            <w:tcW w:w="544" w:type="pct"/>
          </w:tcPr>
          <w:p w:rsidR="00DC54CF" w:rsidRPr="008761D9" w:rsidRDefault="00DC54CF" w:rsidP="00DC54CF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  <w:vAlign w:val="center"/>
          </w:tcPr>
          <w:p w:rsidR="00DC54CF" w:rsidRPr="00960CBD" w:rsidRDefault="00DC54CF" w:rsidP="00DC54CF">
            <w:pPr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Wzmocniona belka na odwłoku zabudowy, nieulegająca wygięciu przy załadunku odpadów wielkogabarytowych</w:t>
            </w:r>
          </w:p>
        </w:tc>
      </w:tr>
    </w:tbl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3. Okres rękojmi r</w:t>
      </w:r>
      <w:r w:rsidR="00C66531">
        <w:rPr>
          <w:rFonts w:ascii="Calibri" w:eastAsia="Times New Roman" w:hAnsi="Calibri" w:cs="Times New Roman"/>
          <w:lang w:eastAsia="ar-SA"/>
        </w:rPr>
        <w:t>ówny okresowi gwarancji jakości.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4. W ramach niniejszego zamówienia, w okresie gwarancji i rękojmi Wykonawca we własnym zakresie i na swój koszt (bez prawa do dodatkowego wynagrodzenia) zapewni: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wykonanie przeglądów gwarancyjnych pojazdów (w tym m. in. wymiana filtrów, oleju, przeglądy generalne zabudowy),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częstotliwość przeglądów gwarancyjnych minimum raz na rok w okresie trwania gwarancji,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pełną obsługę serwisową i realizację napraw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 xml:space="preserve"> w zakresie dokonywania wymiany części, które podczas eksploatacji pojazdów zgodnie z ich przeznaczeniem, w warunkach zgodnych z instrukcją obsługi, ulegają normalnemu zużyciu.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Pełen serwis pojazdów w okresie </w:t>
      </w:r>
      <w:r w:rsidR="00E73902">
        <w:rPr>
          <w:rFonts w:ascii="Calibri" w:eastAsia="Times New Roman" w:hAnsi="Calibri" w:cs="Times New Roman"/>
          <w:lang w:eastAsia="ar-SA"/>
        </w:rPr>
        <w:t>36</w:t>
      </w:r>
      <w:r w:rsidRPr="009145A2">
        <w:rPr>
          <w:rFonts w:ascii="Calibri" w:eastAsia="Times New Roman" w:hAnsi="Calibri" w:cs="Times New Roman"/>
          <w:lang w:eastAsia="ar-SA"/>
        </w:rPr>
        <w:t xml:space="preserve"> miesięcy od daty odbioru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>.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Koszty obsługi serwisowej oraz koszty napraw wraz z kosztami zakupu części zamiennych i materiałów eksploatacyjnych w okresie gwarancji i rękojmi pokrywa Wykonawca.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5. Zamawiający wymaga wskazania w ofercie istniejącego na dzień jej złożenia </w:t>
      </w:r>
    </w:p>
    <w:p w:rsidR="009145A2" w:rsidRPr="009145A2" w:rsidRDefault="009145A2" w:rsidP="00AE5890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stacjonarnego serwisu (lub serwisów) podwozia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9145A2" w:rsidRPr="009145A2" w:rsidRDefault="009145A2" w:rsidP="009145A2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oraz</w:t>
      </w:r>
    </w:p>
    <w:p w:rsidR="009145A2" w:rsidRPr="009145A2" w:rsidRDefault="009145A2" w:rsidP="00AE5890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stacjonarnego serwisu (lub serwisów) zabudowy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9145A2" w:rsidRPr="009145A2" w:rsidRDefault="009145A2" w:rsidP="009145A2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posiadających techniczną możliwość przystąpienia do usuwania zgłaszanych wad, usterek w czasie do 24 godzin od momentu zgłoszenia ich wystąpienia przez Zamawiającego.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6. W ramach serwisu typu </w:t>
      </w:r>
      <w:proofErr w:type="spellStart"/>
      <w:r w:rsidRPr="009145A2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9145A2">
        <w:rPr>
          <w:rFonts w:ascii="Calibri" w:eastAsia="Times New Roman" w:hAnsi="Calibri" w:cs="Times New Roman"/>
          <w:lang w:eastAsia="ar-SA"/>
        </w:rPr>
        <w:t>-to-</w:t>
      </w:r>
      <w:proofErr w:type="spellStart"/>
      <w:r w:rsidRPr="009145A2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9145A2">
        <w:rPr>
          <w:rFonts w:ascii="Calibri" w:eastAsia="Times New Roman" w:hAnsi="Calibri" w:cs="Times New Roman"/>
          <w:lang w:eastAsia="ar-SA"/>
        </w:rPr>
        <w:t xml:space="preserve"> Wykonawca w ciągu 24 godzin od zgłoszenia zapewni transport pojazdu od Zamawiającego do wskazanego miejsca serwisu oraz w ciągu 24 godzin od usunięcia wady lub usterki dostarczy pojazd Zamawiającemu.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lastRenderedPageBreak/>
        <w:t>7. W przypadku braku możliwości dysponowania serwisem, o którym mowa w ust. 5 i 6 Wykonawca zapewni serwis mobilny posiadający techniczną możliwość przystąpienia do usuwania zgłaszanych wad, usterek w czasie do 24 godzin od momentu zgłoszenia ich wystąpienia przez Zamawiającego.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8. Warunki dodatkowe bezwzględnie wymagane przez zamawiającego:</w:t>
      </w:r>
    </w:p>
    <w:p w:rsidR="009145A2" w:rsidRPr="009145A2" w:rsidRDefault="009145A2" w:rsidP="00AE589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Wraz z dostawą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 xml:space="preserve"> Wykonawca dostarczy Zamawiającemu następujące dokumenty w języku polskim: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instrukcję obsługi zabudowy,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książkę gwarancyjną zabudowy,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książkę gwarancyjną podwozia,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instrukcję obsługi podwozia,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dokumenty potwierdzające dopuszczenie jednostkowe oraz badania UDT,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dokumenty pozwalające na zarejestrowanie pojazdu zgodnie z przepisami prawa,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oświadczenie (deklarację) CE potwierdzającą zgodność dostarczanego pojazdu </w:t>
      </w:r>
    </w:p>
    <w:p w:rsidR="009145A2" w:rsidRPr="009145A2" w:rsidRDefault="009145A2" w:rsidP="009145A2">
      <w:pPr>
        <w:suppressAutoHyphens/>
        <w:spacing w:after="0" w:line="276" w:lineRule="auto"/>
        <w:ind w:left="1134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z normami określonymi w Opisie przedmiotu zamówienia,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katalog części zamiennych dla podwozia oraz zabudowy (dopuszcza się formę elektroniczną tego dokumentu).</w:t>
      </w:r>
    </w:p>
    <w:p w:rsidR="009145A2" w:rsidRPr="009145A2" w:rsidRDefault="009145A2" w:rsidP="00AE589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 xml:space="preserve"> oraz zainstalowanych w ni</w:t>
      </w:r>
      <w:r w:rsidR="0083690B">
        <w:rPr>
          <w:rFonts w:ascii="Calibri" w:eastAsia="Times New Roman" w:hAnsi="Calibri" w:cs="Times New Roman"/>
          <w:lang w:eastAsia="ar-SA"/>
        </w:rPr>
        <w:t>m</w:t>
      </w:r>
      <w:r w:rsidRPr="009145A2">
        <w:rPr>
          <w:rFonts w:ascii="Calibri" w:eastAsia="Times New Roman" w:hAnsi="Calibri" w:cs="Times New Roman"/>
          <w:lang w:eastAsia="ar-SA"/>
        </w:rPr>
        <w:t xml:space="preserve"> urządzeń, co zostanie potwierdzone wydaniem stosownych imiennych certyfikatów (zaświadczeń), dokumentujących zakres przeszkolenia.</w:t>
      </w:r>
    </w:p>
    <w:p w:rsidR="009145A2" w:rsidRPr="00556C70" w:rsidRDefault="009145A2" w:rsidP="00AE58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  <w:bCs/>
        </w:rPr>
      </w:pPr>
      <w:r w:rsidRPr="00556C70">
        <w:rPr>
          <w:rFonts w:ascii="Calibri" w:eastAsia="Times New Roman" w:hAnsi="Calibri" w:cs="Times New Roman"/>
          <w:lang w:eastAsia="ar-SA"/>
        </w:rPr>
        <w:t>W okresie gwarancji i rękojmi wszystkie naprawy będą się odbywać z użyciem nowych oryginalnych części, za wyjątkiem przypadków, na które Zamawiający wyrazi pisemną zgodę.</w:t>
      </w: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Default="00556C70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r w:rsidRPr="00556C70">
        <w:rPr>
          <w:rFonts w:ascii="Calibri" w:hAnsi="Calibri"/>
          <w:b/>
          <w:bCs/>
        </w:rPr>
        <w:t>Śmieciarka dwukomorowa trzyosiowa  - szczegółowy opis przedmiotu zamówienia:</w:t>
      </w:r>
    </w:p>
    <w:p w:rsidR="00556C70" w:rsidRPr="00556C70" w:rsidRDefault="00556C70" w:rsidP="00AE589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</w:rPr>
      </w:pPr>
      <w:r w:rsidRPr="00556C70">
        <w:rPr>
          <w:rFonts w:ascii="Calibri" w:hAnsi="Calibri"/>
          <w:b/>
          <w:bCs/>
        </w:rPr>
        <w:t>Podwozie: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Podwozie fabrycznie nowe rok produkcji – 2020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Dopuszczalna masa całkowita – minimum 26 ton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Dopuszczalna ładowność - minimum 9 ton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Norma emisji spalin: EURO 6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 xml:space="preserve">Silnik wysokoprężny </w:t>
            </w:r>
            <w:proofErr w:type="spellStart"/>
            <w:r w:rsidRPr="00D5708C">
              <w:rPr>
                <w:rFonts w:ascii="Calibri" w:hAnsi="Calibri"/>
              </w:rPr>
              <w:t>Common-Rail</w:t>
            </w:r>
            <w:proofErr w:type="spellEnd"/>
            <w:r w:rsidRPr="00D5708C">
              <w:rPr>
                <w:rFonts w:ascii="Calibri" w:hAnsi="Calibri"/>
              </w:rPr>
              <w:t xml:space="preserve"> o pojemności skokowej mieszczący się w przedziale 7,6 – 11,0 litra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Moc silnika min. 300 KM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 xml:space="preserve">Maksymalny moment obrotowy silnika - minimum 1200 </w:t>
            </w:r>
            <w:proofErr w:type="spellStart"/>
            <w:r w:rsidRPr="00D5708C">
              <w:rPr>
                <w:rFonts w:ascii="Calibri" w:hAnsi="Calibri"/>
              </w:rPr>
              <w:t>Nm</w:t>
            </w:r>
            <w:proofErr w:type="spellEnd"/>
            <w:r w:rsidRPr="00D5708C">
              <w:rPr>
                <w:rFonts w:ascii="Calibri" w:hAnsi="Calibri"/>
              </w:rPr>
              <w:t xml:space="preserve"> max 1800 </w:t>
            </w:r>
            <w:proofErr w:type="spellStart"/>
            <w:r w:rsidRPr="00D5708C">
              <w:rPr>
                <w:rFonts w:ascii="Calibri" w:hAnsi="Calibri"/>
              </w:rPr>
              <w:t>Nm</w:t>
            </w:r>
            <w:proofErr w:type="spellEnd"/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</w:t>
            </w:r>
            <w:r w:rsidRPr="00D5708C">
              <w:rPr>
                <w:rFonts w:ascii="Calibri" w:hAnsi="Calibri"/>
              </w:rPr>
              <w:t>utomaty</w:t>
            </w:r>
            <w:r>
              <w:rPr>
                <w:rFonts w:ascii="Calibri" w:hAnsi="Calibri"/>
              </w:rPr>
              <w:t>zowa</w:t>
            </w:r>
            <w:r w:rsidRPr="00D5708C">
              <w:rPr>
                <w:rFonts w:ascii="Calibri" w:hAnsi="Calibri"/>
              </w:rPr>
              <w:t>na skrzynia biegów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Default="007604F3" w:rsidP="007604F3">
            <w:pPr>
              <w:rPr>
                <w:rFonts w:ascii="Calibri" w:hAnsi="Calibri"/>
              </w:rPr>
            </w:pPr>
            <w:r w:rsidRPr="009C38F8">
              <w:rPr>
                <w:rFonts w:ascii="Calibri" w:hAnsi="Calibri"/>
              </w:rPr>
              <w:t>Rozstaw osi między pierwszą a drugą 3</w:t>
            </w:r>
            <w:r>
              <w:rPr>
                <w:rFonts w:ascii="Calibri" w:hAnsi="Calibri"/>
              </w:rPr>
              <w:t>6</w:t>
            </w:r>
            <w:r w:rsidRPr="009C38F8">
              <w:rPr>
                <w:rFonts w:ascii="Calibri" w:hAnsi="Calibri"/>
              </w:rPr>
              <w:t xml:space="preserve">00 ÷ </w:t>
            </w:r>
            <w:r>
              <w:rPr>
                <w:rFonts w:ascii="Calibri" w:hAnsi="Calibri"/>
              </w:rPr>
              <w:t>4000</w:t>
            </w:r>
            <w:r w:rsidRPr="009C38F8">
              <w:rPr>
                <w:rFonts w:ascii="Calibri" w:hAnsi="Calibri"/>
              </w:rPr>
              <w:t xml:space="preserve"> mm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System oczyszczania spalin SCR, DPF z EGR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Filtr paliwa podgrzewany z separatorem wody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System antyblokujący ABS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System ASR i ESP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Asystent utrzymywania pojazdu na zadanym pasie ruchu lub system ostrzegania o opuszczeniu pasa ruchu</w:t>
            </w:r>
          </w:p>
        </w:tc>
      </w:tr>
      <w:tr w:rsidR="007604F3" w:rsidRPr="008761D9" w:rsidTr="008761D9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Hamulec silnikowy lub zwalniacz opierający działanie na turbosprężarce ze zmienną geometrią oraz zaworze zwrotnym ciśnienia znajdującym się w układzie wydechowym.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Komputer pokładowy</w:t>
            </w:r>
            <w:r>
              <w:rPr>
                <w:rFonts w:ascii="Calibri" w:hAnsi="Calibri"/>
              </w:rPr>
              <w:t xml:space="preserve"> z podstawowym językiem polskim komunikatów dla kierowcy</w:t>
            </w:r>
          </w:p>
        </w:tc>
      </w:tr>
      <w:tr w:rsidR="007604F3" w:rsidRPr="008761D9" w:rsidTr="008761D9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Koła 22,5 z oponami 315/80R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960CBD">
              <w:rPr>
                <w:rFonts w:cstheme="minorHAnsi"/>
                <w:color w:val="000000" w:themeColor="text1"/>
              </w:rPr>
              <w:t>lub z oponami 295/80R lub 305/70R</w:t>
            </w:r>
          </w:p>
        </w:tc>
      </w:tr>
      <w:tr w:rsidR="007604F3" w:rsidRPr="008761D9" w:rsidTr="008761D9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7604F3" w:rsidRPr="00960CBD" w:rsidRDefault="007604F3" w:rsidP="007604F3">
            <w:pPr>
              <w:rPr>
                <w:rFonts w:cstheme="minorHAnsi"/>
                <w:color w:val="000000" w:themeColor="text1"/>
              </w:rPr>
            </w:pPr>
            <w:r w:rsidRPr="00E379B6">
              <w:rPr>
                <w:rFonts w:cstheme="minorHAnsi"/>
                <w:color w:val="000000" w:themeColor="text1"/>
              </w:rPr>
              <w:t>Hamulec osi przedniej i tylnej - tarczowy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Przednie zawieszenie resory paraboliczne</w:t>
            </w:r>
          </w:p>
        </w:tc>
      </w:tr>
      <w:tr w:rsidR="007604F3" w:rsidRPr="008761D9" w:rsidTr="008761D9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Stabilizator osi przedniej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176F9D" w:rsidRDefault="007604F3" w:rsidP="007604F3">
            <w:pPr>
              <w:rPr>
                <w:rFonts w:ascii="Calibri" w:hAnsi="Calibri"/>
              </w:rPr>
            </w:pPr>
            <w:r w:rsidRPr="00176F9D">
              <w:rPr>
                <w:rFonts w:ascii="Calibri" w:hAnsi="Calibri"/>
              </w:rPr>
              <w:t>Nośność przedniego zawieszenia minimum 8 ton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176F9D" w:rsidRDefault="007604F3" w:rsidP="007604F3">
            <w:pPr>
              <w:rPr>
                <w:rFonts w:ascii="Calibri" w:hAnsi="Calibri"/>
              </w:rPr>
            </w:pPr>
            <w:r w:rsidRPr="00176F9D">
              <w:rPr>
                <w:rFonts w:ascii="Calibri" w:hAnsi="Calibri"/>
              </w:rPr>
              <w:t>Nośność tylnego zawieszenia minimum 18 ton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176F9D" w:rsidRDefault="007604F3" w:rsidP="007604F3">
            <w:pPr>
              <w:rPr>
                <w:rFonts w:ascii="Calibri" w:hAnsi="Calibri"/>
              </w:rPr>
            </w:pPr>
            <w:r w:rsidRPr="00176F9D">
              <w:rPr>
                <w:rFonts w:ascii="Calibri" w:hAnsi="Calibri"/>
              </w:rPr>
              <w:t>Nośność osi wleczonej/pchanej minimum 7,5 tony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176F9D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 xml:space="preserve">Oś tylna wleczona, </w:t>
            </w:r>
            <w:r>
              <w:rPr>
                <w:rFonts w:cstheme="minorHAnsi"/>
                <w:color w:val="000000" w:themeColor="text1"/>
              </w:rPr>
              <w:t>skrętna</w:t>
            </w:r>
            <w:r w:rsidRPr="00960CBD">
              <w:rPr>
                <w:rFonts w:cstheme="minorHAnsi"/>
                <w:color w:val="000000" w:themeColor="text1"/>
              </w:rPr>
              <w:t xml:space="preserve"> i odciążana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960CBD" w:rsidRDefault="007604F3" w:rsidP="007604F3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Blokada mechanizmu różnicowego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Zawieszenie pneumatyczne z 3 poziomami do jazdy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Układ wspomagania kierownicy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2 akumulatory, min 170 Ah</w:t>
            </w:r>
            <w:r>
              <w:rPr>
                <w:rFonts w:ascii="Calibri" w:hAnsi="Calibri"/>
              </w:rPr>
              <w:t xml:space="preserve"> (niewymagające konserwacji)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Zbiornik paliwa min 210 l</w:t>
            </w:r>
            <w:r>
              <w:rPr>
                <w:rFonts w:ascii="Calibri" w:hAnsi="Calibri"/>
              </w:rPr>
              <w:t xml:space="preserve"> z zamykanym korkiem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 xml:space="preserve">Zbiornik </w:t>
            </w:r>
            <w:proofErr w:type="spellStart"/>
            <w:r w:rsidRPr="00D5708C">
              <w:rPr>
                <w:rFonts w:ascii="Calibri" w:hAnsi="Calibri"/>
              </w:rPr>
              <w:t>AdBlue</w:t>
            </w:r>
            <w:proofErr w:type="spellEnd"/>
            <w:r w:rsidRPr="00D5708C">
              <w:rPr>
                <w:rFonts w:ascii="Calibri" w:hAnsi="Calibri"/>
              </w:rPr>
              <w:t xml:space="preserve"> o pojemności min 30 l.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Kliny zabezpieczające umieszczane pod kołami pojazdu min. 2 szt.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 xml:space="preserve">Boczne osłony </w:t>
            </w:r>
            <w:proofErr w:type="spellStart"/>
            <w:r w:rsidRPr="00D5708C">
              <w:rPr>
                <w:rFonts w:ascii="Calibri" w:hAnsi="Calibri"/>
              </w:rPr>
              <w:t>przeciwnajazdowe</w:t>
            </w:r>
            <w:proofErr w:type="spellEnd"/>
          </w:p>
        </w:tc>
      </w:tr>
      <w:tr w:rsidR="007604F3" w:rsidRPr="008761D9" w:rsidTr="008761D9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Oświetlenie zgodne z obowiązującymi przepisami o ruchu drogowym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Jeden zaczep do holowania z przodu pojazdu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Chlapacze przeciwrozbryzgowe przód i tył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 xml:space="preserve">Przystawka odbioru mocy </w:t>
            </w:r>
            <w:r>
              <w:rPr>
                <w:rFonts w:ascii="Calibri" w:hAnsi="Calibri"/>
              </w:rPr>
              <w:t xml:space="preserve">spełniająca wymagania zabudowy śmieciarki / przystawka </w:t>
            </w:r>
            <w:proofErr w:type="spellStart"/>
            <w:r>
              <w:rPr>
                <w:rFonts w:ascii="Calibri" w:hAnsi="Calibri"/>
              </w:rPr>
              <w:t>odsilnikowa</w:t>
            </w:r>
            <w:proofErr w:type="spellEnd"/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Gniazdo 12V + 24 V na desce rozdzielczej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Radio wraz z odtwarzaczem CD lub ze złączem USB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Wbudowany zestaw głośnomówiący </w:t>
            </w:r>
            <w:proofErr w:type="spellStart"/>
            <w:r>
              <w:rPr>
                <w:rFonts w:ascii="Calibri" w:hAnsi="Calibri"/>
              </w:rPr>
              <w:t>bluetooth</w:t>
            </w:r>
            <w:proofErr w:type="spellEnd"/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Wyposażenie w standardowe anteny: AM/FM, GSM i GPS oraz dodatkową antenę CB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Podgrzewane s</w:t>
            </w:r>
            <w:r w:rsidRPr="00D5708C">
              <w:rPr>
                <w:rFonts w:ascii="Calibri" w:hAnsi="Calibri"/>
              </w:rPr>
              <w:t>iedzenie kierowcy z zawieszeniem pneumatycznym</w:t>
            </w:r>
            <w:r>
              <w:rPr>
                <w:rFonts w:ascii="Calibri" w:hAnsi="Calibri"/>
              </w:rPr>
              <w:t xml:space="preserve"> i regulowanym odcinkiem lędźwiowym 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Ilość miejsc w kabinie</w:t>
            </w:r>
            <w:r>
              <w:rPr>
                <w:rFonts w:ascii="Calibri" w:hAnsi="Calibri"/>
              </w:rPr>
              <w:t>:</w:t>
            </w:r>
            <w:r w:rsidRPr="00D5708C">
              <w:rPr>
                <w:rFonts w:ascii="Calibri" w:hAnsi="Calibri"/>
              </w:rPr>
              <w:t xml:space="preserve"> 3 miejsca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Pokrowce na wszystkie siedzenia 2 komplety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Mechaniczna roleta przeciwsłoneczna przedniej szyby lub zewnętrzna przyciemniona osłona przeciwsłoneczna przedniej szyby, oraz odchylanych przysłon dla kierowcy i pasażera wewnątrz pojazdu lub uchylna osłona/klapek przeciwsłonecznych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Szyba przednia przyciemniona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Kompresor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Kompletny zestaw kluczy naprawczych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Pełnowymiarowe koło zapasowe i lewarek hydrauliczny dostosowany do pojazdu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Gaśnica</w:t>
            </w:r>
            <w:r>
              <w:rPr>
                <w:rFonts w:ascii="Calibri" w:hAnsi="Calibri"/>
              </w:rPr>
              <w:t xml:space="preserve"> – 2 szt.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Trójkąt ostrzegawczy – 2 szt.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Apteczka pierwszej pomocy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Dwa sygnały ostrzegawcze przy cofaniu</w:t>
            </w:r>
          </w:p>
          <w:p w:rsidR="007604F3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-sygnał dźwiękowy</w:t>
            </w:r>
            <w:r>
              <w:rPr>
                <w:rFonts w:ascii="Calibri" w:hAnsi="Calibri"/>
              </w:rPr>
              <w:t xml:space="preserve"> </w:t>
            </w:r>
          </w:p>
          <w:p w:rsidR="007604F3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-świetlna sygnalizacja cofania</w:t>
            </w:r>
          </w:p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-podłączenie do świateł roboczych zabudowy</w:t>
            </w:r>
          </w:p>
        </w:tc>
      </w:tr>
      <w:tr w:rsidR="007604F3" w:rsidRPr="008761D9" w:rsidTr="008761D9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Kabina dzienna, kolor biały RAL 9010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Kabina kierowcy wyposażona w zabezpieczenie mechaniczne przed jej opadnięciem lub system podnoszenia i opuszczania kabiny za pomocą pompy hydraulicznej z zaworem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Pojazd wyposażony w listwę świetlną ostrzegawczą na dachu kabiny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Koło kierownicy regulowane w dwóch płaszczyznach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 xml:space="preserve">Skalibrowany Tachograf cyfrowy 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Ogranicznik prędkości do 90 km/h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Tempomat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Klimatyzacja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Fabryczny </w:t>
            </w:r>
            <w:proofErr w:type="spellStart"/>
            <w:r w:rsidRPr="00D5708C">
              <w:rPr>
                <w:rFonts w:ascii="Calibri" w:hAnsi="Calibri"/>
              </w:rPr>
              <w:t>Immobilizer</w:t>
            </w:r>
            <w:proofErr w:type="spellEnd"/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Elektrycznie sterowane szyby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Gumowe dywaniki podłogowe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Centralny zamek</w:t>
            </w:r>
          </w:p>
        </w:tc>
      </w:tr>
      <w:tr w:rsidR="007604F3" w:rsidRPr="008761D9" w:rsidTr="008761D9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cstheme="minorHAnsi"/>
                <w:color w:val="000000" w:themeColor="text1"/>
              </w:rPr>
              <w:t>Pod</w:t>
            </w:r>
            <w:r w:rsidRPr="00960CBD">
              <w:rPr>
                <w:rFonts w:cstheme="minorHAnsi"/>
                <w:color w:val="000000" w:themeColor="text1"/>
              </w:rPr>
              <w:t>grzewane i elektrycznie regulowane lusterka wsteczne zgodnie</w:t>
            </w:r>
            <w:r w:rsidRPr="00960CBD">
              <w:rPr>
                <w:rFonts w:cstheme="minorHAnsi"/>
                <w:color w:val="000000" w:themeColor="text1"/>
              </w:rPr>
              <w:br/>
              <w:t>z obowiązującymi przepisami o ruchu drogowym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Lusterko krawężnikowe prawe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Reflektory główne halogenowe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Światła do jazdy dziennej, diody LED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Lampy przeciwmgielne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D5708C">
              <w:rPr>
                <w:rFonts w:ascii="Calibri" w:hAnsi="Calibri"/>
              </w:rPr>
              <w:t>2 pomarańczowe lampy rotacyjne w przedniej części dachu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D5708C" w:rsidRDefault="007604F3" w:rsidP="007604F3">
            <w:pPr>
              <w:rPr>
                <w:rFonts w:ascii="Calibri" w:hAnsi="Calibri"/>
              </w:rPr>
            </w:pPr>
            <w:r w:rsidRPr="00960CBD">
              <w:rPr>
                <w:rFonts w:cstheme="minorHAnsi"/>
                <w:color w:val="000000" w:themeColor="text1"/>
              </w:rPr>
              <w:t>Wąż do pompowania kół</w:t>
            </w:r>
          </w:p>
        </w:tc>
      </w:tr>
      <w:tr w:rsidR="007604F3" w:rsidRPr="008761D9" w:rsidTr="00A95652">
        <w:tc>
          <w:tcPr>
            <w:tcW w:w="988" w:type="dxa"/>
          </w:tcPr>
          <w:p w:rsidR="007604F3" w:rsidRPr="008761D9" w:rsidRDefault="007604F3" w:rsidP="007604F3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  <w:vAlign w:val="center"/>
          </w:tcPr>
          <w:p w:rsidR="007604F3" w:rsidRPr="00960CBD" w:rsidRDefault="007604F3" w:rsidP="007604F3">
            <w:pPr>
              <w:rPr>
                <w:rFonts w:cstheme="minorHAnsi"/>
                <w:color w:val="000000" w:themeColor="text1"/>
              </w:rPr>
            </w:pPr>
            <w:r w:rsidRPr="00960CBD">
              <w:rPr>
                <w:rFonts w:cstheme="minorHAnsi"/>
                <w:color w:val="000000" w:themeColor="text1"/>
              </w:rPr>
              <w:t>Osłony na lampy zabezpieczające przed uszkodzeniami mechanicznymi</w:t>
            </w:r>
          </w:p>
        </w:tc>
      </w:tr>
    </w:tbl>
    <w:p w:rsidR="00556C70" w:rsidRDefault="00556C70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556C70" w:rsidRDefault="00556C70" w:rsidP="00AE589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Zabudowa:</w:t>
      </w:r>
    </w:p>
    <w:tbl>
      <w:tblPr>
        <w:tblStyle w:val="Tabela-Siatka12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074"/>
      </w:tblGrid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Zabudowa fabrycznie nowa rok produkcji 2020 r.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Zabudowa dwukomorowa przeznaczona do zbiórki odpadów z dwoma niezależnymi urządzeniami zasypowymi tylnymi oraz dwoma niezależnie pracującymi odwłokami wykonana zgodnie z normą EN1501-1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Ściany zabudowy gładkie, bez ożebrowania i bez przetłoczeń wykonane min. z blachy stalowej na gorąco walcowanej S355MC lub innej o równoważnych lub wyższych parametrach o grubości min. 4 mm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Kolor zabudowy biały z zielonymi ramkami i szarym elementem odwłoka, zgodny z kolorystyką taboru w posiadaniu zamawiającego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Pojemność zabudowy min. 22 m3 z podziałem 30% strona węższa i 70% strona szersza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Stopień zagęszczania odpadów min 1 : 5 w obydwu komorach, płyty wypychowe pracujące niezależnie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Urządzenie załadowcze przystosowane do opróżniania pojemników od 80 do 1100 litrów zgodnie z normą EN840-1,2,3 po stronie szerszej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Czas cyklu opróżniania pojemnika 120-360 l nie może przekroczyć 8 sekund (komora szersza i węższa)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Urządzenie załadowcze przystosowane do opróżniania pojemników od 80 do 360 litrów zgodnie z normą EN840-1,2 po stronie węższej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Maksymalny czas opróżnienia pojemnika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 sekund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Opróżnianie pojemników 1100 litrów za pomocą łap oraz na grzebieniu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Mechanizm otwierania półokrągłej klapy pojemnika 1100 litrów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Czas cyklu opróżniania pojemnika 1100 l nie może przekroczyć 12 sekund (komora szersza )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Podłoga skrzyni ładunkowej płaska wykonana ze stali </w:t>
            </w:r>
            <w:proofErr w:type="spellStart"/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Domex</w:t>
            </w:r>
            <w:proofErr w:type="spellEnd"/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 650, </w:t>
            </w:r>
            <w:proofErr w:type="spellStart"/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Strenx</w:t>
            </w:r>
            <w:proofErr w:type="spellEnd"/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 500 o grubości min. 4 mm lub inna stal konstrukcyjna o zbliżonych parametrach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Dno wanny zasypowej </w:t>
            </w:r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wykonane z jednego arkusza blachy ze stali min. </w:t>
            </w:r>
            <w:proofErr w:type="spellStart"/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Hardox</w:t>
            </w:r>
            <w:proofErr w:type="spellEnd"/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400</w:t>
            </w: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 o grubości min. 8 mm, pozostałe elementy dna odwłoka wykonane ze stali </w:t>
            </w:r>
            <w:proofErr w:type="spellStart"/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Strenx</w:t>
            </w:r>
            <w:proofErr w:type="spellEnd"/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 650 o grubości min. 6 mm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Podwójny niezależny system sterowania prasami zagęszczającymi. Cykl automatyczny uruchamiany za pomocą przycisków/włączników umieszczonych po obu stronach odwłoka i dodatkowo niezależny manualny tryb hydrauliczny uruchamiany za pomocą dźwigni hydraulicznych </w:t>
            </w:r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zastosowania dodatkowej elektryki, umieszczonych</w:t>
            </w: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 xml:space="preserve"> po obu stronach odwłoka, pozwalający na pracę zabudowy w warunkach awarii układu </w:t>
            </w:r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elektrycznego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Obsługa urządzenia zasypowego za pomocą proporcjonalnych dźwigni hydraulicznych umieszczonych po obu stronach odwłoka bez zastosowania dodatkowej elektryki.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Siłowniki hydrauliczne umieszczone wewnątrz odwłoka zamontowane tłoczyskami do góry zapewniające załadunek odpadów w każdej pozycji prasy zagęszczającej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Czas wykonania pełnego cyklu prasy zagęszczającej – 18 sekund.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Pompa hydrauliczna o zmiennym wydatku i przepływie min 130 l/min. montowana bezpośrednio na PTO od silnika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Oświetlenie według obowiązujących przepisów: światła stop, postojowe, kierunkowskazy wykonane w technologii LED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56DA">
              <w:rPr>
                <w:rFonts w:asciiTheme="minorHAnsi" w:hAnsiTheme="minorHAnsi" w:cstheme="minorHAnsi"/>
                <w:sz w:val="22"/>
                <w:szCs w:val="22"/>
              </w:rPr>
              <w:t>Pasy odblaskowe (ostrzegawcze) na ścianach bocznych i odwłoku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Automatyczna regulacja obrotów silnika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Układ centralnego smarowania zabudowy na smar półpłynny. Minimum 40 punktów smarnych.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Dwa zawory kulowy w wannie załadunkowej do opróżniania odcieków min. 3”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Opróżnianie skrzyni ładunkowej z kabiny kierowcy oraz z boku zabudowy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Skrzynka sterownicza do obsługi zabudowy zamontowana w kabinie kierowcy, z funkcją załączeni a zabudowy, podnoszenia odwłoka i przesuwu płyty wypychającej za pomocą manualnych przełączników 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Płyty prasujące wewnątrz odwłoka osadzone na ślizgach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8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Odwłok posiadający automatyczne blokowanie i odblokowanie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Krawędź zasypu na wysokości max. 1300 mm od podłoża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Minimum trzy (3) wyłączniki bezpieczeństwa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Ciśnienie robocze w układzie hydraulicznym min. 260 bar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Skrzynia ładunkowa posiadająca drzwi inspekcyjne na bocznych ścianach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Światła robocze LED i światła doświetlające boki i tył zabudowy 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1 światło robocze LED w zasypie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Światło błyskowe/ostrzegawcze na zabudowie pojazdu szt. 2 (przód i tył)</w:t>
            </w:r>
            <w:bookmarkStart w:id="4" w:name="page3"/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osłonami chroniącymi przed uszkodzeniami mechanicznymi.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Dwa stopnie składane dla ładowaczy wraz z czujnikami automatycznie informującymi kierowcę o tym, który stopień jest zajęty oraz dającym możliwość: ograniczenia prędkości jazdy do 30 km/h. oraz uniemożliwienia manewru cofania śmieciarki, rozłączenia układu ugniatania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Kamera wsteczna z mikrofonem i monitorem kolorowym LCD minimum 7” zamontowanym w kabinie, z głośnikami, zapewniająca łączność kabiny kierowcy ze skrzynią załadunkową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Przygotowanie pod system dynamicznego ważenia na każdej komorze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Ładowność min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E029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ton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Zabudowa wykonana zgodnie z prawem unijnym i posiadająca znak CE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908">
              <w:rPr>
                <w:rFonts w:asciiTheme="minorHAnsi" w:hAnsiTheme="minorHAnsi" w:cstheme="minorHAnsi"/>
                <w:sz w:val="22"/>
                <w:szCs w:val="22"/>
              </w:rPr>
              <w:t>Homologacja na kompletny pojazd lub dopuszczenie jednostkowe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eastAsia="Times New Roman" w:cstheme="minorHAnsi"/>
              </w:rPr>
            </w:pPr>
          </w:p>
        </w:tc>
        <w:tc>
          <w:tcPr>
            <w:tcW w:w="8074" w:type="dxa"/>
            <w:vAlign w:val="center"/>
          </w:tcPr>
          <w:p w:rsidR="007604F3" w:rsidRPr="00E02908" w:rsidRDefault="007604F3" w:rsidP="007604F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0CB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Odwłok wyposażony w zabezpieczenie mechaniczne przed jego opadnięciem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eastAsia="Times New Roman" w:cstheme="minorHAnsi"/>
              </w:rPr>
            </w:pPr>
          </w:p>
        </w:tc>
        <w:tc>
          <w:tcPr>
            <w:tcW w:w="8074" w:type="dxa"/>
            <w:vAlign w:val="center"/>
          </w:tcPr>
          <w:p w:rsidR="007604F3" w:rsidRPr="00960CBD" w:rsidRDefault="007604F3" w:rsidP="007604F3">
            <w:pPr>
              <w:tabs>
                <w:tab w:val="left" w:pos="780"/>
              </w:tabs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60CB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Reflektor LED roboczy z tyłu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po obu stronach </w:t>
            </w:r>
            <w:r w:rsidRPr="00960CB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zabudowy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– 2 szt.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eastAsia="Times New Roman" w:cstheme="minorHAnsi"/>
              </w:rPr>
            </w:pPr>
          </w:p>
        </w:tc>
        <w:tc>
          <w:tcPr>
            <w:tcW w:w="8074" w:type="dxa"/>
            <w:vAlign w:val="center"/>
          </w:tcPr>
          <w:p w:rsidR="007604F3" w:rsidRPr="00960CBD" w:rsidRDefault="007604F3" w:rsidP="007604F3">
            <w:pPr>
              <w:tabs>
                <w:tab w:val="left" w:pos="780"/>
              </w:tabs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Uchwyt na szufelkę i miotłę z wyposażeniem w szufelkę i miotłę</w:t>
            </w:r>
          </w:p>
        </w:tc>
      </w:tr>
      <w:tr w:rsidR="007604F3" w:rsidRPr="008761D9" w:rsidTr="008A39E7">
        <w:tc>
          <w:tcPr>
            <w:tcW w:w="993" w:type="dxa"/>
          </w:tcPr>
          <w:p w:rsidR="007604F3" w:rsidRPr="008761D9" w:rsidRDefault="007604F3" w:rsidP="007604F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eastAsia="Times New Roman" w:cstheme="minorHAnsi"/>
              </w:rPr>
            </w:pPr>
          </w:p>
        </w:tc>
        <w:tc>
          <w:tcPr>
            <w:tcW w:w="8074" w:type="dxa"/>
            <w:vAlign w:val="center"/>
          </w:tcPr>
          <w:p w:rsidR="007604F3" w:rsidRDefault="007604F3" w:rsidP="007604F3">
            <w:pPr>
              <w:tabs>
                <w:tab w:val="left" w:pos="780"/>
              </w:tabs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5A3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Skrzynka na narzędzia/worki 800 mm</w:t>
            </w:r>
          </w:p>
        </w:tc>
      </w:tr>
    </w:tbl>
    <w:p w:rsidR="00556C70" w:rsidRPr="00556C70" w:rsidRDefault="00556C70" w:rsidP="00556C70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3. Okres rękojmi równy okresowi gwarancji jakości</w:t>
      </w:r>
      <w:r w:rsidR="00706DC7">
        <w:rPr>
          <w:rFonts w:ascii="Calibri" w:eastAsia="Times New Roman" w:hAnsi="Calibri" w:cs="Times New Roman"/>
          <w:lang w:eastAsia="ar-SA"/>
        </w:rPr>
        <w:t>.</w:t>
      </w:r>
      <w:r w:rsidRPr="00556C70">
        <w:rPr>
          <w:rFonts w:ascii="Calibri" w:eastAsia="Times New Roman" w:hAnsi="Calibri" w:cs="Times New Roman"/>
          <w:lang w:eastAsia="ar-SA"/>
        </w:rPr>
        <w:t xml:space="preserve"> 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4. W ramach niniejszego zamówienia, w okresie gwarancji i rękojmi Wykonawca we własnym zakresie i na swój koszt (bez prawa do dodatkowego wynagrodzenia) zapewni: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wykonanie przeglądów gwarancyjnych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(w tym m. in. wymiana filtrów, oleju, przeglądy generalne zabudowy),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częstotliwość przeglądów gwarancyjnych minimum raz na rok w okresie trwania gwarancji,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pełną obsługę serwisową i realizację napraw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w zakresie dokonywania wymiany części, które podczas eksploatacji pojazdów zgodnie z ich przeznaczeniem, w warunkach zgodnych z instrukcją obsługi, ulegają normalnemu zużyciu.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Pełen serwis pojazdów w okresie </w:t>
      </w:r>
      <w:r w:rsidR="00706DC7">
        <w:rPr>
          <w:rFonts w:ascii="Calibri" w:eastAsia="Times New Roman" w:hAnsi="Calibri" w:cs="Times New Roman"/>
          <w:lang w:eastAsia="ar-SA"/>
        </w:rPr>
        <w:t>36</w:t>
      </w:r>
      <w:r w:rsidRPr="00556C70">
        <w:rPr>
          <w:rFonts w:ascii="Calibri" w:eastAsia="Times New Roman" w:hAnsi="Calibri" w:cs="Times New Roman"/>
          <w:lang w:eastAsia="ar-SA"/>
        </w:rPr>
        <w:t xml:space="preserve"> miesięcy od daty odbioru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>.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Koszty obsługi serwisowej oraz koszty napraw wraz z kosztami zakupu części zamiennych i materiałów eksploatacyjnych w okresie gwarancji i rękojmi pokrywa Wykonawca.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5. Zamawiający wymaga wskazania w ofercie istniejącego na dzień jej złożenia </w:t>
      </w:r>
    </w:p>
    <w:p w:rsidR="00556C70" w:rsidRPr="00556C70" w:rsidRDefault="00556C70" w:rsidP="00AE5890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stacjonarnego serwisu (lub serwisów) podwozia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556C70" w:rsidRPr="00556C70" w:rsidRDefault="00556C70" w:rsidP="00556C70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oraz</w:t>
      </w:r>
    </w:p>
    <w:p w:rsidR="00556C70" w:rsidRPr="00556C70" w:rsidRDefault="00556C70" w:rsidP="00AE5890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stacjonarnego serwisu (lub serwisów) zabudowy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556C70" w:rsidRPr="00556C70" w:rsidRDefault="00556C70" w:rsidP="00556C70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posiadających techniczną możliwość przystąpienia do usuwania zgłaszanych wad, usterek w czasie do 24 godzin od momentu zgłoszenia ich wystąpienia przez Zamawiającego.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6. W ramach serwisu typu </w:t>
      </w:r>
      <w:proofErr w:type="spellStart"/>
      <w:r w:rsidRPr="00556C70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556C70">
        <w:rPr>
          <w:rFonts w:ascii="Calibri" w:eastAsia="Times New Roman" w:hAnsi="Calibri" w:cs="Times New Roman"/>
          <w:lang w:eastAsia="ar-SA"/>
        </w:rPr>
        <w:t>-to-</w:t>
      </w:r>
      <w:proofErr w:type="spellStart"/>
      <w:r w:rsidRPr="00556C70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556C70">
        <w:rPr>
          <w:rFonts w:ascii="Calibri" w:eastAsia="Times New Roman" w:hAnsi="Calibri" w:cs="Times New Roman"/>
          <w:lang w:eastAsia="ar-SA"/>
        </w:rPr>
        <w:t xml:space="preserve"> Wykonawca w ciągu 24 godzin od zgłoszenia zapewni transport pojazdu od Zamawiającego do wskazanego miejsca serwisu oraz w ciągu 24 godzin od usunięcia wady lub usterki dostarczy pojazd Zamawiającemu.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7. W przypadku braku możliwości dysponowania serwisem, o którym mowa w ust. 5 i 6 Wykonawca zapewni serwis mobilny posiadający techniczną możliwość przystąpienia do usuwania zgłaszanych wad, usterek w czasie do 24 godzin od momentu zgłoszenia ich wystąpienia przez Zamawiającego.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8. Warunki dodatkowe bezwzględnie wymagane przez zamawiającego:</w:t>
      </w:r>
    </w:p>
    <w:p w:rsidR="00556C70" w:rsidRPr="00556C70" w:rsidRDefault="00556C70" w:rsidP="00AE5890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Wraz z dostawą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Wykonawca dostarczy Zamawiającemu następujące dokumenty w języku polskim:</w:t>
      </w:r>
    </w:p>
    <w:p w:rsidR="00556C70" w:rsidRPr="00556C70" w:rsidRDefault="00556C70" w:rsidP="00AE5890">
      <w:pPr>
        <w:numPr>
          <w:ilvl w:val="0"/>
          <w:numId w:val="15"/>
        </w:numPr>
        <w:tabs>
          <w:tab w:val="left" w:pos="1134"/>
        </w:tabs>
        <w:suppressAutoHyphens/>
        <w:spacing w:after="0" w:line="276" w:lineRule="auto"/>
        <w:ind w:hanging="11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instrukcję obsługi zabudowy,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książkę gwarancyjną zabudowy,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książkę gwarancyjną podwozia,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instrukcję obsługi podwozia,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dokumenty potwierdzające dopuszczenie jednostkowe oraz badania UDT,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lastRenderedPageBreak/>
        <w:t>dokumenty pozwalające na zarejestrowanie pojazdu zgodnie z przepisami prawa,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oświadczenie (deklarację) CE potwierdzającą zgodność dostarczanego pojazdu </w:t>
      </w:r>
    </w:p>
    <w:p w:rsidR="00556C70" w:rsidRPr="00556C70" w:rsidRDefault="00556C70" w:rsidP="00556C70">
      <w:pPr>
        <w:suppressAutoHyphens/>
        <w:spacing w:after="0" w:line="276" w:lineRule="auto"/>
        <w:ind w:left="1134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z normami określonymi w Opisie przedmiotu zamówienia,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katalog części zamiennych dla podwozia oraz zabudowy (dopuszcza się formę elektroniczną tego dokumentu).</w:t>
      </w:r>
    </w:p>
    <w:p w:rsidR="00556C70" w:rsidRPr="00556C70" w:rsidRDefault="00556C70" w:rsidP="00AE5890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oraz zainstalowanych w ni</w:t>
      </w:r>
      <w:r w:rsidR="0083690B">
        <w:rPr>
          <w:rFonts w:ascii="Calibri" w:eastAsia="Times New Roman" w:hAnsi="Calibri" w:cs="Times New Roman"/>
          <w:lang w:eastAsia="ar-SA"/>
        </w:rPr>
        <w:t>m</w:t>
      </w:r>
      <w:r w:rsidRPr="00556C70">
        <w:rPr>
          <w:rFonts w:ascii="Calibri" w:eastAsia="Times New Roman" w:hAnsi="Calibri" w:cs="Times New Roman"/>
          <w:lang w:eastAsia="ar-SA"/>
        </w:rPr>
        <w:t xml:space="preserve"> urządzeń, co zostanie potwierdzone wydaniem stosownych imiennych certyfikatów (zaświadczeń), dokumentujących zakres przeszkolenia.</w:t>
      </w:r>
    </w:p>
    <w:p w:rsidR="00556C70" w:rsidRPr="00556C70" w:rsidRDefault="00556C70" w:rsidP="00AE5890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 okresie gwarancji i rękojmi wszystkie naprawy będą się odbywać z użyciem nowych oryginalnych części, za wyjątkiem przypadków, na które Zamawiający wyrazi pisemną zgodę.</w:t>
      </w:r>
    </w:p>
    <w:p w:rsidR="009145A2" w:rsidRPr="00D67FD1" w:rsidRDefault="009145A2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3AA1" w:rsidRPr="00D67FD1" w:rsidRDefault="00853AA1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"/>
    <w:p w:rsidR="00DA5EB5" w:rsidRPr="00D67FD1" w:rsidRDefault="00DA5EB5" w:rsidP="00DD3DD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DA5EB5" w:rsidRPr="00D67FD1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E4" w:rsidRDefault="00452CE4" w:rsidP="00FF7C24">
      <w:pPr>
        <w:spacing w:after="0" w:line="240" w:lineRule="auto"/>
      </w:pPr>
      <w:r>
        <w:separator/>
      </w:r>
    </w:p>
  </w:endnote>
  <w:endnote w:type="continuationSeparator" w:id="0">
    <w:p w:rsidR="00452CE4" w:rsidRDefault="00452CE4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DC54CF" w:rsidRDefault="00DC54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D2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C54CF" w:rsidRDefault="00DC5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E4" w:rsidRDefault="00452CE4" w:rsidP="00FF7C24">
      <w:pPr>
        <w:spacing w:after="0" w:line="240" w:lineRule="auto"/>
      </w:pPr>
      <w:r>
        <w:separator/>
      </w:r>
    </w:p>
  </w:footnote>
  <w:footnote w:type="continuationSeparator" w:id="0">
    <w:p w:rsidR="00452CE4" w:rsidRDefault="00452CE4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C8E"/>
    <w:multiLevelType w:val="hybridMultilevel"/>
    <w:tmpl w:val="356CD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9630A4"/>
    <w:multiLevelType w:val="hybridMultilevel"/>
    <w:tmpl w:val="47E46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2719"/>
    <w:multiLevelType w:val="hybridMultilevel"/>
    <w:tmpl w:val="42F04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5BB"/>
    <w:multiLevelType w:val="hybridMultilevel"/>
    <w:tmpl w:val="08200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27F"/>
    <w:multiLevelType w:val="hybridMultilevel"/>
    <w:tmpl w:val="821AC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43EC7"/>
    <w:multiLevelType w:val="hybridMultilevel"/>
    <w:tmpl w:val="3690A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2AC"/>
    <w:multiLevelType w:val="hybridMultilevel"/>
    <w:tmpl w:val="7A906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4945"/>
    <w:multiLevelType w:val="hybridMultilevel"/>
    <w:tmpl w:val="35CA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6756"/>
    <w:multiLevelType w:val="hybridMultilevel"/>
    <w:tmpl w:val="5D2E0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1773"/>
    <w:multiLevelType w:val="hybridMultilevel"/>
    <w:tmpl w:val="42F04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5375"/>
    <w:multiLevelType w:val="hybridMultilevel"/>
    <w:tmpl w:val="DEBC7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93340"/>
    <w:multiLevelType w:val="hybridMultilevel"/>
    <w:tmpl w:val="B686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A1AB1"/>
    <w:multiLevelType w:val="hybridMultilevel"/>
    <w:tmpl w:val="B0262808"/>
    <w:lvl w:ilvl="0" w:tplc="817E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77A15"/>
    <w:multiLevelType w:val="hybridMultilevel"/>
    <w:tmpl w:val="7D189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5447A"/>
    <w:multiLevelType w:val="hybridMultilevel"/>
    <w:tmpl w:val="AD82E53C"/>
    <w:lvl w:ilvl="0" w:tplc="C974E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30965"/>
    <w:multiLevelType w:val="hybridMultilevel"/>
    <w:tmpl w:val="7D189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175F"/>
    <w:multiLevelType w:val="hybridMultilevel"/>
    <w:tmpl w:val="AD82E53C"/>
    <w:lvl w:ilvl="0" w:tplc="C974E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20" w15:restartNumberingAfterBreak="0">
    <w:nsid w:val="6F6C5889"/>
    <w:multiLevelType w:val="hybridMultilevel"/>
    <w:tmpl w:val="3690A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E1759"/>
    <w:multiLevelType w:val="hybridMultilevel"/>
    <w:tmpl w:val="6D7E05EE"/>
    <w:lvl w:ilvl="0" w:tplc="F0742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20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5"/>
  </w:num>
  <w:num w:numId="19">
    <w:abstractNumId w:val="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710C"/>
    <w:rsid w:val="00027A0C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83B67"/>
    <w:rsid w:val="00090DD9"/>
    <w:rsid w:val="00090E61"/>
    <w:rsid w:val="00097256"/>
    <w:rsid w:val="000A695C"/>
    <w:rsid w:val="000B462B"/>
    <w:rsid w:val="000B5155"/>
    <w:rsid w:val="000C648D"/>
    <w:rsid w:val="000D4E0E"/>
    <w:rsid w:val="000F37C5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24FFF"/>
    <w:rsid w:val="00330EC1"/>
    <w:rsid w:val="0033178B"/>
    <w:rsid w:val="003425BC"/>
    <w:rsid w:val="003624BC"/>
    <w:rsid w:val="003714FC"/>
    <w:rsid w:val="00374735"/>
    <w:rsid w:val="00374C81"/>
    <w:rsid w:val="00380CCC"/>
    <w:rsid w:val="00390D38"/>
    <w:rsid w:val="0039120F"/>
    <w:rsid w:val="00394F3D"/>
    <w:rsid w:val="00397FB0"/>
    <w:rsid w:val="003A158D"/>
    <w:rsid w:val="003A5D6A"/>
    <w:rsid w:val="003B1D66"/>
    <w:rsid w:val="003D598C"/>
    <w:rsid w:val="003F3BC2"/>
    <w:rsid w:val="003F568B"/>
    <w:rsid w:val="003F6596"/>
    <w:rsid w:val="00400872"/>
    <w:rsid w:val="004053A4"/>
    <w:rsid w:val="00413CC0"/>
    <w:rsid w:val="0042218E"/>
    <w:rsid w:val="0043400B"/>
    <w:rsid w:val="00435B50"/>
    <w:rsid w:val="004478F5"/>
    <w:rsid w:val="00447A44"/>
    <w:rsid w:val="00452CE4"/>
    <w:rsid w:val="00452E67"/>
    <w:rsid w:val="0046488A"/>
    <w:rsid w:val="004676C7"/>
    <w:rsid w:val="004862E1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40138"/>
    <w:rsid w:val="005500F3"/>
    <w:rsid w:val="00556C70"/>
    <w:rsid w:val="00565D9A"/>
    <w:rsid w:val="00576289"/>
    <w:rsid w:val="00580769"/>
    <w:rsid w:val="0058291D"/>
    <w:rsid w:val="005951FF"/>
    <w:rsid w:val="005A43C0"/>
    <w:rsid w:val="005B202A"/>
    <w:rsid w:val="005B6688"/>
    <w:rsid w:val="005D068B"/>
    <w:rsid w:val="005D421D"/>
    <w:rsid w:val="005D5744"/>
    <w:rsid w:val="005E424E"/>
    <w:rsid w:val="005E7C46"/>
    <w:rsid w:val="005F0CD7"/>
    <w:rsid w:val="005F3D8B"/>
    <w:rsid w:val="005F4D21"/>
    <w:rsid w:val="005F4FEB"/>
    <w:rsid w:val="005F64AD"/>
    <w:rsid w:val="00601D55"/>
    <w:rsid w:val="00604156"/>
    <w:rsid w:val="00612E5C"/>
    <w:rsid w:val="0063315A"/>
    <w:rsid w:val="00643774"/>
    <w:rsid w:val="0064491E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E12"/>
    <w:rsid w:val="006E65A8"/>
    <w:rsid w:val="006F49EE"/>
    <w:rsid w:val="006F7299"/>
    <w:rsid w:val="0070432E"/>
    <w:rsid w:val="00706DC7"/>
    <w:rsid w:val="007141F8"/>
    <w:rsid w:val="00724AD1"/>
    <w:rsid w:val="00742192"/>
    <w:rsid w:val="007428A1"/>
    <w:rsid w:val="00746CAA"/>
    <w:rsid w:val="00755FCB"/>
    <w:rsid w:val="007604F3"/>
    <w:rsid w:val="00760DF4"/>
    <w:rsid w:val="007677FE"/>
    <w:rsid w:val="007707FB"/>
    <w:rsid w:val="0077134A"/>
    <w:rsid w:val="00773EAA"/>
    <w:rsid w:val="00776B27"/>
    <w:rsid w:val="00784486"/>
    <w:rsid w:val="0079278A"/>
    <w:rsid w:val="00792BBE"/>
    <w:rsid w:val="007A1429"/>
    <w:rsid w:val="007A4E93"/>
    <w:rsid w:val="007B3F7D"/>
    <w:rsid w:val="007B7B6B"/>
    <w:rsid w:val="007E5F73"/>
    <w:rsid w:val="0080138E"/>
    <w:rsid w:val="008071F9"/>
    <w:rsid w:val="00812B2B"/>
    <w:rsid w:val="00813D3B"/>
    <w:rsid w:val="008249C9"/>
    <w:rsid w:val="0083690B"/>
    <w:rsid w:val="00841D18"/>
    <w:rsid w:val="00847D0C"/>
    <w:rsid w:val="0085001A"/>
    <w:rsid w:val="00852C85"/>
    <w:rsid w:val="00853AA1"/>
    <w:rsid w:val="008622EE"/>
    <w:rsid w:val="00864489"/>
    <w:rsid w:val="00865A54"/>
    <w:rsid w:val="00865F0D"/>
    <w:rsid w:val="008761D9"/>
    <w:rsid w:val="00884D9C"/>
    <w:rsid w:val="008A15D8"/>
    <w:rsid w:val="008B7B53"/>
    <w:rsid w:val="008D2D67"/>
    <w:rsid w:val="008D56B8"/>
    <w:rsid w:val="008E02D8"/>
    <w:rsid w:val="008E1E78"/>
    <w:rsid w:val="008E44E4"/>
    <w:rsid w:val="008F14A3"/>
    <w:rsid w:val="008F2354"/>
    <w:rsid w:val="009003E1"/>
    <w:rsid w:val="009035E6"/>
    <w:rsid w:val="00904E11"/>
    <w:rsid w:val="00905574"/>
    <w:rsid w:val="00911DB5"/>
    <w:rsid w:val="00914133"/>
    <w:rsid w:val="009145A2"/>
    <w:rsid w:val="00920511"/>
    <w:rsid w:val="00921C9D"/>
    <w:rsid w:val="00962298"/>
    <w:rsid w:val="00965607"/>
    <w:rsid w:val="00995E2F"/>
    <w:rsid w:val="009973C8"/>
    <w:rsid w:val="009A3933"/>
    <w:rsid w:val="009A3F51"/>
    <w:rsid w:val="009A7C72"/>
    <w:rsid w:val="009C1CCA"/>
    <w:rsid w:val="009C2790"/>
    <w:rsid w:val="009D021F"/>
    <w:rsid w:val="009D0F2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4391C"/>
    <w:rsid w:val="00A46D3E"/>
    <w:rsid w:val="00A528B0"/>
    <w:rsid w:val="00A57A9B"/>
    <w:rsid w:val="00A63086"/>
    <w:rsid w:val="00A64CC7"/>
    <w:rsid w:val="00A828BE"/>
    <w:rsid w:val="00A856F0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5890"/>
    <w:rsid w:val="00AE6654"/>
    <w:rsid w:val="00AF0040"/>
    <w:rsid w:val="00AF3C1A"/>
    <w:rsid w:val="00AF42C2"/>
    <w:rsid w:val="00AF4910"/>
    <w:rsid w:val="00AF51B3"/>
    <w:rsid w:val="00AF6264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878EC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50C30"/>
    <w:rsid w:val="00C62BD0"/>
    <w:rsid w:val="00C63B76"/>
    <w:rsid w:val="00C63EC0"/>
    <w:rsid w:val="00C64B06"/>
    <w:rsid w:val="00C66531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E2AFE"/>
    <w:rsid w:val="00CE5E2C"/>
    <w:rsid w:val="00CE69A3"/>
    <w:rsid w:val="00CF28EF"/>
    <w:rsid w:val="00CF7AF6"/>
    <w:rsid w:val="00D034A1"/>
    <w:rsid w:val="00D110DD"/>
    <w:rsid w:val="00D16550"/>
    <w:rsid w:val="00D169C1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67FD1"/>
    <w:rsid w:val="00D73302"/>
    <w:rsid w:val="00D75486"/>
    <w:rsid w:val="00D93182"/>
    <w:rsid w:val="00D93F41"/>
    <w:rsid w:val="00D951E3"/>
    <w:rsid w:val="00DA14D4"/>
    <w:rsid w:val="00DA5EB5"/>
    <w:rsid w:val="00DC1796"/>
    <w:rsid w:val="00DC54CF"/>
    <w:rsid w:val="00DC6E44"/>
    <w:rsid w:val="00DD3DDD"/>
    <w:rsid w:val="00DD5222"/>
    <w:rsid w:val="00DE0A66"/>
    <w:rsid w:val="00DE2113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3902"/>
    <w:rsid w:val="00E77762"/>
    <w:rsid w:val="00E86945"/>
    <w:rsid w:val="00E91C92"/>
    <w:rsid w:val="00E97C2D"/>
    <w:rsid w:val="00EA5CFB"/>
    <w:rsid w:val="00EC4AB0"/>
    <w:rsid w:val="00EC5B0A"/>
    <w:rsid w:val="00EC7CC2"/>
    <w:rsid w:val="00ED0C54"/>
    <w:rsid w:val="00ED573B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506BE"/>
    <w:rsid w:val="00F63984"/>
    <w:rsid w:val="00F6742A"/>
    <w:rsid w:val="00F7103A"/>
    <w:rsid w:val="00F74A23"/>
    <w:rsid w:val="00F77616"/>
    <w:rsid w:val="00F8152F"/>
    <w:rsid w:val="00F91D7F"/>
    <w:rsid w:val="00FA23DB"/>
    <w:rsid w:val="00FB45C9"/>
    <w:rsid w:val="00FB487E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2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table" w:customStyle="1" w:styleId="Tabela-Siatka1">
    <w:name w:val="Tabela - Siatka1"/>
    <w:basedOn w:val="Standardowy"/>
    <w:next w:val="Tabela-Siatka"/>
    <w:uiPriority w:val="39"/>
    <w:rsid w:val="0091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1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5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5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24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8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761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F25A-E95F-4CD1-867D-9ACC3B92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3809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2020-01-17T08:47:00Z</cp:lastPrinted>
  <dcterms:created xsi:type="dcterms:W3CDTF">2019-05-09T08:35:00Z</dcterms:created>
  <dcterms:modified xsi:type="dcterms:W3CDTF">2020-03-23T10:38:00Z</dcterms:modified>
</cp:coreProperties>
</file>