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593CE6">
        <w:rPr>
          <w:rFonts w:ascii="Tahoma" w:hAnsi="Tahoma" w:cs="Tahoma"/>
          <w:sz w:val="20"/>
          <w:szCs w:val="20"/>
        </w:rPr>
        <w:t>1</w:t>
      </w:r>
      <w:r w:rsidR="0058490D">
        <w:rPr>
          <w:rFonts w:ascii="Tahoma" w:hAnsi="Tahoma" w:cs="Tahoma"/>
          <w:sz w:val="20"/>
          <w:szCs w:val="20"/>
        </w:rPr>
        <w:t>0</w:t>
      </w:r>
      <w:r w:rsidR="00950C4B">
        <w:rPr>
          <w:rFonts w:ascii="Tahoma" w:hAnsi="Tahoma" w:cs="Tahoma"/>
          <w:sz w:val="20"/>
          <w:szCs w:val="20"/>
        </w:rPr>
        <w:t>.0</w:t>
      </w:r>
      <w:r w:rsidR="0058490D">
        <w:rPr>
          <w:rFonts w:ascii="Tahoma" w:hAnsi="Tahoma" w:cs="Tahoma"/>
          <w:sz w:val="20"/>
          <w:szCs w:val="20"/>
        </w:rPr>
        <w:t>9</w:t>
      </w:r>
      <w:r w:rsidR="00950C4B">
        <w:rPr>
          <w:rFonts w:ascii="Tahoma" w:hAnsi="Tahoma" w:cs="Tahoma"/>
          <w:sz w:val="20"/>
          <w:szCs w:val="20"/>
        </w:rPr>
        <w:t>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</w:t>
      </w:r>
      <w:r w:rsidR="0058490D">
        <w:rPr>
          <w:rFonts w:ascii="Tahoma" w:hAnsi="Tahoma" w:cs="Tahoma"/>
          <w:sz w:val="16"/>
          <w:szCs w:val="16"/>
        </w:rPr>
        <w:t>6</w:t>
      </w:r>
      <w:r w:rsidRPr="00006B93">
        <w:rPr>
          <w:rFonts w:ascii="Tahoma" w:hAnsi="Tahoma" w:cs="Tahoma"/>
          <w:sz w:val="16"/>
          <w:szCs w:val="16"/>
        </w:rPr>
        <w:t>/0</w:t>
      </w:r>
      <w:r w:rsidR="0058490D">
        <w:rPr>
          <w:rFonts w:ascii="Tahoma" w:hAnsi="Tahoma" w:cs="Tahoma"/>
          <w:sz w:val="16"/>
          <w:szCs w:val="16"/>
        </w:rPr>
        <w:t>9</w:t>
      </w:r>
      <w:r w:rsidRPr="00006B93">
        <w:rPr>
          <w:rFonts w:ascii="Tahoma" w:hAnsi="Tahoma" w:cs="Tahoma"/>
          <w:sz w:val="16"/>
          <w:szCs w:val="16"/>
        </w:rPr>
        <w:t>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ogłoszenia o zamówieniu: </w:t>
      </w:r>
      <w:r w:rsidR="0058490D" w:rsidRPr="0058490D">
        <w:rPr>
          <w:rFonts w:ascii="Tahoma" w:hAnsi="Tahoma" w:cs="Tahoma"/>
          <w:sz w:val="16"/>
          <w:szCs w:val="16"/>
        </w:rPr>
        <w:t>593159-N-2019 z dnia 2019-09-05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 xml:space="preserve">(Dz. U. z 2018 poz. 1986 ze zm.) pod nazwą: </w:t>
      </w:r>
      <w:r w:rsidR="0058490D" w:rsidRPr="0058490D">
        <w:rPr>
          <w:rFonts w:ascii="Tahoma" w:hAnsi="Tahoma" w:cs="Tahoma"/>
          <w:b/>
          <w:sz w:val="20"/>
          <w:szCs w:val="20"/>
        </w:rPr>
        <w:t>Bezgotówkowy zakup oleju napędowego do specjalistycznych pojazdów do odbioru odpadów.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Pzp,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1:</w:t>
      </w: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dokonywania zakupu paliwa w formie bezgotówkowej przy użyciu kart paliwowych – mikroprocesorowych kart paliwowych? Karty wydane zostałyby w ciągu 15 dni roboczych od przedłożenia wniosku/zamówienia na karty przez Zamawiającego po podpisaniu umowy. W trakcie realizacji umowy karty wydane byłyby w ciągu 15 dni roboczych od przedłożenia wniosku/zamówienia w przypadku blokady danej karty - utrata, zmiana danych i itp., lub zamówienia nowej karty), przy jednoczesnej akceptacji opłaty za karty:</w:t>
      </w: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sz w:val="20"/>
          <w:szCs w:val="20"/>
          <w:lang w:eastAsia="pl-PL"/>
        </w:rPr>
        <w:t>*    0 zł netto za kartę nową,</w:t>
      </w:r>
    </w:p>
    <w:p w:rsidR="00593CE6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sz w:val="20"/>
          <w:szCs w:val="20"/>
          <w:lang w:eastAsia="pl-PL"/>
        </w:rPr>
        <w:t>* 10 zł netto za kartę wymienną (na skutek zagubienia, kradzieży, zmiany dotychczasowych danych etc.)</w:t>
      </w:r>
      <w:r w:rsidR="00DC29E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C29EC" w:rsidRPr="00DC29EC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29EC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DC29EC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29EC">
        <w:rPr>
          <w:rFonts w:ascii="Tahoma" w:eastAsia="Times New Roman" w:hAnsi="Tahoma" w:cs="Tahoma"/>
          <w:b/>
          <w:sz w:val="20"/>
          <w:szCs w:val="20"/>
          <w:lang w:eastAsia="pl-PL"/>
        </w:rPr>
        <w:t>Zamawiający nie dopuszcza możliwości dokonywania zakupu paliwa w formie bezgotówkowej przy użyciu kart paliwowych.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C29EC" w:rsidRPr="00DC29EC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2:</w:t>
      </w:r>
    </w:p>
    <w:p w:rsidR="00593CE6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Czy Zamawiający zaakceptuje procedurę odbioru paliwa bezgotówkowego tankowania paliwa za pomocą kart flotowych i doda stosowny zapis w § 1 umowy?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 xml:space="preserve">Wykonawca umożliwi Zamawiającemu korzystanie z kart mikroprocesorowych, które pozwalają na dokonywanie bezgotówkowych zakupów paliw i usług w sieci stacji paliw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(…)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. To propozycja dla klientów, którzy chcą mieć prosty w obsłudze, przyjazny i przynoszący korzyści ekonomiczne system tankowania paliw i podstawowej obsługi drogowej samochodów. Posiadacze kart flotowych łatwiej i szybciej organizują, a także rozliczają działalność logistyczną swoich firm.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 xml:space="preserve">Karta Flotowa. wyposażona jest w mikroprocesor, który umożliwia: 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kontrolowanie częstotliwości wizyt na stacjach paliwowych Koncernu,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monitorowanie wartości zakupionego paliwa oraz innych towarów i usług,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sprawdzanie stanu licznika kilometrów,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elektroniczne zapisywanie informacji, np. o koncie do zaksięgowania transakcji,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otrzymanie danych o transakcjach bezgotówkowych w postaci raportu lub pliku e-mail.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Wszystkie Karty Flotowe są zabezpieczone poufnym kodem identyfikacyjnym PIN, który znany jest jedynie ich użytkownikom i spełniają bankowe standardy zabezpieczeń. Wykonawca oferuje dwa rodzaje Kart Flotowych: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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kartę typu „K” – wystawianą imiennie na kierowcę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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kartę typu „S” – wystawianą na numer rejestracyjny pojazdu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Dla każdej karty Klient może określić - według własnych potrzeb - limity:</w:t>
      </w:r>
    </w:p>
    <w:p w:rsid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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ilości zakupionych paliw (limit dzienny, miesięczny wyrażony w litrach)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</w:t>
      </w:r>
      <w:r w:rsidRPr="00C40C74">
        <w:rPr>
          <w:rFonts w:ascii="Tahoma" w:eastAsia="Times New Roman" w:hAnsi="Tahoma" w:cs="Tahoma"/>
          <w:sz w:val="20"/>
          <w:szCs w:val="20"/>
          <w:lang w:eastAsia="pl-PL"/>
        </w:rPr>
        <w:tab/>
        <w:t>wartości zakupionych produktów i usług (limit dzienny, miesięczny wyrażony w pln)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Na życzenie Klienta istnieje możliwość uruchomienia opcji obligującej użytkownika karty (kierowcę) do podawania przy każdym tankowaniu stanu licznika kilometrów lub numeru konta do księgowania transakcji.</w:t>
      </w:r>
    </w:p>
    <w:p w:rsid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Wykonawca po podpisaniu umowy udostępnia portal flotowy - interaktywny system, za pośrednictwem którego, przy indywidualnym przekazaniu loginu i hasła Zamawiający zarządza taborem samochodowym.</w:t>
      </w:r>
    </w:p>
    <w:p w:rsidR="00DC29EC" w:rsidRPr="00DC29EC" w:rsidRDefault="00DC29EC" w:rsidP="00DC29E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29EC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C40C74" w:rsidRDefault="00DC29EC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zawiązku z odpowiedzią na pytanie nr 1 Zamawiający nie akceptuje takiej procedury.</w:t>
      </w:r>
    </w:p>
    <w:p w:rsidR="00DC29EC" w:rsidRDefault="00DC29EC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3:</w:t>
      </w:r>
    </w:p>
    <w:p w:rsidR="00593CE6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Czy uznacie Państwo warunek za spełniony, jeżeli w  okresie zimowym w przypadku oleju napędowego ,, o polepszonych właściwościach niskotemperaturowych’’  będziecie Państwo  korzystać z oleju napędowego Ekodiesel, który jest dostosowany do warunków atmosferycznych (projekt umowy § 1 ust. 6)?</w:t>
      </w:r>
    </w:p>
    <w:p w:rsidR="00DC29EC" w:rsidRPr="00DC29EC" w:rsidRDefault="00DC29EC" w:rsidP="00DC29E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29EC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DC29EC" w:rsidRDefault="00DC29EC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C29EC">
        <w:rPr>
          <w:rFonts w:ascii="Tahoma" w:eastAsia="Times New Roman" w:hAnsi="Tahoma" w:cs="Tahoma"/>
          <w:b/>
          <w:sz w:val="20"/>
          <w:szCs w:val="20"/>
          <w:lang w:eastAsia="pl-PL"/>
        </w:rPr>
        <w:t>Zamawiający dopuszcza proponowany olej napędowy.</w:t>
      </w:r>
    </w:p>
    <w:p w:rsidR="00DC29EC" w:rsidRPr="00DC29EC" w:rsidRDefault="00DC29EC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3CE6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4: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zmiany zapisu w § 1 ust. 6, § 2 ust. 6 i zaakceptowania poniższego sposobu ewidencjonowania transakcji bezgotówkowych: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„Każda transakcja bezgotówkowa zostanie zarejestrowana w systemie z podaniem numeru transakcji bezgotówkowej, daty, miejsca, wartości i ilości zakupionych produktów lub usług. dokonanie przez użytkownika kart flotowych transakcji bezgotówkowej potwierdzone zostanie wydrukiem z terminalu albo pokwitowaniem. Użytkownik kart flotowych, sprawdzi prawidłowość danych w nich zawartych i otrzyma jego egzemplarz.”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Dokument wydania paliwa generowany jest po zatwierdzeniu transakcji poprawnym kodem PIN, w związku z czym nie ma konieczności potwierdzania dokumentu podpisem osoby pobierającej paliwo. Poprawność dokonanej transakcji wskazuje zapis/informacja: ”KOD PIN POPRAWNY”.?</w:t>
      </w:r>
    </w:p>
    <w:p w:rsidR="00E93CE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Ponadto Wykonawca informuje, że załącznik do faktury stanowiący jej integralną część zawiera wykaz  wszystkich zakupów z danego okresu rozliczeniowego dokonywanych na poszczególne karty paliwowe , t.j.: numery kart, numery rejestracyjne pojazdów, ilość i ceny jednostkowe brutto zakupionych paliw lub liczbę towarów i usług, wartość (netto, brutto, VAT) paliw (towarów i usług), pozycję faktury. Dla danej pozycji faktury wskazana jest wartość brutto przed opustem, wielkość opustu, wartość (brutto, VAT, netto)  po opuście.</w:t>
      </w:r>
    </w:p>
    <w:p w:rsidR="00DC29EC" w:rsidRPr="002977E2" w:rsidRDefault="00DC29EC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zawiązku z odpowiedzią na pytanie nr 1 Zamawiający nie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dopuszcza</w:t>
      </w: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proponowanego</w:t>
      </w:r>
      <w:r w:rsidRPr="002977E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sposobu ewidencjonowania transakcji bezgotówkowych.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3CE6" w:rsidRPr="00CD394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Pytanie nr 5:</w:t>
      </w:r>
    </w:p>
    <w:p w:rsidR="00E93CE4" w:rsidRPr="00CD3944" w:rsidRDefault="00C40C74" w:rsidP="00E93CE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Czy Zamawiający wyrazi zgodę na odstąpienie od podpisania umowy na przetwarzanie danych osobowych (projekt umowy  § 1 ust. 8 ?</w:t>
      </w:r>
    </w:p>
    <w:p w:rsidR="00C40C74" w:rsidRPr="00CD394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realizacji umowy nie zachodzi  przetwarzanie  danych osobowych.</w:t>
      </w:r>
    </w:p>
    <w:p w:rsidR="00C40C74" w:rsidRPr="00CD394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 przypadku przekazania danych osobowych pracowników w zakresie imienia, nazwiska, służbowego numeru telefonu oraz/lub służbowego adresu poczty elektronicznej w celu zapewnienia komunikacji w związku z wykonaniem umowy trudno jest mówić o powierzeniu przetwarzania danych osobowych. Podmiot, który otrzymuje dane osobowe  pracowników zatrudnionych przez swojego kontrahenta nie przetwarza ich dla celów tego kontrahenta a dla swoich własnych (czyli zachodzi udostępnienie). Komunikacja pomiędzy uczestnikami umowy  w związku z prowadzonymi wspólnie interesami stanowi w oczywisty sposób prawnie uzasadniony interes każdego z tych podmiotów – nie da się prowadzić działalności bez kontaktu z innymi podmiotami na rynku. Tymczasem w ramach takiego kontaktu może dochodzić do przetwarzania danych osobowych. Jeśli chodzi przekazywania danych do kontaktu przez strony umowy stanowisko swoje wyraził ówczesny Generalny Inspektor Ochrony Danych Osobowych w kwestii udostępniania danych osobowych pracowników gdzie powołał się na wyrok Sądu Najwyższego z dnia 19 listopada 2003 r.; sygn. I PK 590/02, zgodnie z którym: „najistotniejszym składnikiem zakładu pracy (przedsiębiorstwa) są ludzie, a funkcjonowanie zakładu wiąże się nierozłącznie z kontaktami zewnętrznymi – z kontrahentami, klientami (…). Dlatego pracodawca nie może być pozbawiony możliwości ujawniania nazwisk pracowników, zajmujących określone stanowiska w ramach instytucji. Przeciwne stanowisko prowadziłoby do sparaliżowania lub poważnego ograniczenia możliwości działania pracodawcy, bez żadnego rozsądnego uzasadnienia w ochronie interesów i praw pracownika.(…) Imiona i nazwiska pracowników widnieją na drzwiach w zakładach pracy, umieszcza się je na pieczątkach imiennych, pismach sporządzanych w związku z pracą, </w:t>
      </w:r>
      <w:r w:rsidRPr="00CD394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 xml:space="preserve">prezentuje w informatorach o instytucjach i przedsiębiorstwach, co oznacza, że zgodnie z powszechną praktyką są one zasadniczo jawne”. Zamiast załącznika nr 6 - umowa powierzenia danych rekomenduję wstawienie poniższego zapisu wraz z załącznikiem w postaci klauzuli informacyjnej dla pracowników Zamawiającego: "Zamawiający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 wobec osób fizycznych zatrudnionych przez Zamawiającego lub współpracujących z Zamawiającym przy zawarciu lub realizacji niniejszej umowy - bez względu na podstawę prawną tej współpracy - których dane osobowe udostępnione </w:t>
      </w:r>
      <w:bookmarkStart w:id="0" w:name="_GoBack"/>
      <w:bookmarkEnd w:id="0"/>
      <w:r w:rsidRPr="00CD394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rozliczalności."?</w:t>
      </w:r>
    </w:p>
    <w:p w:rsidR="002977E2" w:rsidRPr="00CD3944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2977E2" w:rsidRPr="00CD3944" w:rsidRDefault="00CD3944" w:rsidP="00C40C7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Zamawiający wymaga </w:t>
      </w: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podpisania umowy na przetwarzanie danych osobowych</w:t>
      </w: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.</w:t>
      </w:r>
    </w:p>
    <w:p w:rsidR="00CD3944" w:rsidRPr="00C40C74" w:rsidRDefault="00CD394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 nr 6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Czy wyrazicie Państwo zgodę na odstąpienie od zapisu w  § 2 ust 1 i zaakceptowania   poniższego: </w:t>
      </w:r>
    </w:p>
    <w:p w:rsidR="0058490D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„Zakupy oleju napędowego w stacji paliw wskazanej przez Wykonawcę dokonywane będą przez Zamawiającego w cenach oleju napędowego producenta krajowego tj.PKN ORLEN S.A podanych na stronie internetowej: http://www.orlen.pl na dzień dokonania zakupu przeliczonych na  1 litr oleju napędowego z VAT, pomniejszonych o upust określony w ofercie Wykonawcy…z VAT za 1 litr oleju napędowego, który jest stały przez okres trwania umowy?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Zamawiający podtrzymuje w tym zakresie dotychczasowe zapisy SIWZ.</w:t>
      </w:r>
    </w:p>
    <w:p w:rsidR="002977E2" w:rsidRPr="002977E2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odstąpienia od  zapisu w § 2 ust 6 i zaakceptowania : okresów rozliczeniowych: I okres rozliczeniowy od 1 do 15 dnia miesiąca, II okres rozliczeniowy od 16 do ostatniego dnia miesiąca, na podstawie sporządzonego przez Wykonawcę raportu transakcji. Faktura będzie uwzględniała ilość zakupionych w danym okresie paliw. Za datę sprzedaży uznaje się ostatni dzień danego okresu rozliczeniowego.”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 xml:space="preserve">Lub 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 xml:space="preserve">rozliczeniowe  tygodniowych okresów– faktury winny być wystawione w tygodniowych okresach rozliczeniowych wg następującego: 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- transakcje za okres od 1 do 7 dnia miesiąca wystawione 2 lub 3 dnia roboczego po zakończonym tygodniu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- transakcje za okres od 8 do 15 dnia miesiąca wystawione 2 lub 3 dnia roboczego po zakończonym tygodniu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- transakcje za okres od 16 do 22 dnia  miesiąca wystawione 2 lub 3 dnia roboczego po zakończonym tygodniu</w:t>
      </w:r>
    </w:p>
    <w:p w:rsidR="00C40C74" w:rsidRPr="00C40C74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- transakcje za okres od 23 do ostatniego dnia miesiąca wystawione 2 lub 3 dnia roboczego po zakończonym tygodniu,</w:t>
      </w:r>
    </w:p>
    <w:p w:rsidR="0058490D" w:rsidRDefault="00C40C7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C74">
        <w:rPr>
          <w:rFonts w:ascii="Tahoma" w:eastAsia="Times New Roman" w:hAnsi="Tahoma" w:cs="Tahoma"/>
          <w:sz w:val="20"/>
          <w:szCs w:val="20"/>
          <w:lang w:eastAsia="pl-PL"/>
        </w:rPr>
        <w:t>Wykonawca będzie wystawiał faktury dla Zamawiającego po zakończeniu każdego okresu rozliczeniowego?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Zamawiający podtrzymuje w tym zakresie dotychczasowe zapisy SIWZ.</w:t>
      </w:r>
    </w:p>
    <w:p w:rsidR="002977E2" w:rsidRPr="00C40C74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FB385F" w:rsidRPr="00FB385F" w:rsidRDefault="00FB385F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5F">
        <w:rPr>
          <w:rFonts w:ascii="Tahoma" w:eastAsia="Times New Roman" w:hAnsi="Tahoma" w:cs="Tahoma"/>
          <w:sz w:val="20"/>
          <w:szCs w:val="20"/>
          <w:lang w:eastAsia="pl-PL"/>
        </w:rPr>
        <w:t>Czy istnieje możliwość zmiany w umowie w § 2 ust. 7 terminu płatności tak, aby wynosił 21 dni i liczony był od daty sprzedaży lub od daty wystawienia faktury, a nie od daty otrzymania faktury do siedziby Zamawiającego? Niestety, nie możemy spełnić wymagań Zamawiającego, ponieważ w systemie rozliczeniowo-księgowym Wykonawcy termin „od otrzymania” , z przyczyn braku możliwości windykacji należności, nie istnieje.</w:t>
      </w:r>
    </w:p>
    <w:p w:rsidR="00FB385F" w:rsidRPr="00FB385F" w:rsidRDefault="00FB385F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5F">
        <w:rPr>
          <w:rFonts w:ascii="Tahoma" w:eastAsia="Times New Roman" w:hAnsi="Tahoma" w:cs="Tahoma"/>
          <w:sz w:val="20"/>
          <w:szCs w:val="20"/>
          <w:lang w:eastAsia="pl-PL"/>
        </w:rPr>
        <w:t xml:space="preserve">W celu usprawnienia procesu otrzymywania faktur VAT, Wykonawca daje możliwość otrzymywania przez Zamawiającego faktury sprzedaży (w tym faktury korygującej/duplikatu) wystawianej w formie elektronicznej, tzw. e-faktura.  </w:t>
      </w:r>
    </w:p>
    <w:p w:rsidR="00E93CE4" w:rsidRDefault="00FB385F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5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E-faktura posiada taką samą wartość prawną, jak faktura w formie papierowej, zawiera te      same dane w związku z czym zastępuje tradycyjny dokument w wersji papierowej. E-faktura umieszczana jest na specjalnie przeznaczonym Portalu maksymalnie jeden dzień roboczy po wystawieniu w systemie rozliczeniowo - księgowym Wykonawcy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Zamawiający podtrzymuje w tym zakresie dotychczasowe zapisy SIWZ.</w:t>
      </w:r>
    </w:p>
    <w:p w:rsidR="002977E2" w:rsidRPr="00FB385F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FB385F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5F">
        <w:rPr>
          <w:rFonts w:ascii="Tahoma" w:eastAsia="Times New Roman" w:hAnsi="Tahoma" w:cs="Tahoma"/>
          <w:sz w:val="20"/>
          <w:szCs w:val="20"/>
          <w:lang w:eastAsia="pl-PL"/>
        </w:rPr>
        <w:t>Czy istnieje możliwość zmiany zapisów w umowie w § 2 ust 7 poprzez odstąpienie od konieczności uzupełnienia nr  konta  na umowie  i zastąpienie słowem: ,, wskazany  na fakturze”?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dopuszcza taką możliwość.</w:t>
      </w:r>
    </w:p>
    <w:p w:rsidR="002977E2" w:rsidRPr="00FB385F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AC538D" w:rsidRPr="00AC538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zmiany zapisu § 3 ust. 1 i zaakceptuje, aby wysokość kary umownej wynosiła 10% wartości niezrealizowanej części umowy?</w:t>
      </w:r>
    </w:p>
    <w:p w:rsidR="0058490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Zdaniem Wykonawcy  zaproponowana przez Zamawiającego wysokość kary jest zbyt wygórowana.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Zamawiający podtrzymuje w tym zakresie dotychczasowe zapisy SIWZ.</w:t>
      </w:r>
    </w:p>
    <w:p w:rsidR="002977E2" w:rsidRPr="00FB385F" w:rsidRDefault="002977E2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AC538D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wyłączenia spod obowiązku zapłaty kary umownej, o której mowa w § 3 ust 2 przypadków: awarii systemu obsługi, przyjęcia paliwa na stację paliw,  modernizacji stacji paliw oraz zdarzeń losowych?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2977E2" w:rsidRPr="002977E2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 w:rsidR="001C79FB">
        <w:rPr>
          <w:rFonts w:ascii="Tahoma" w:eastAsia="Times New Roman" w:hAnsi="Tahoma" w:cs="Tahoma"/>
          <w:b/>
          <w:sz w:val="20"/>
          <w:szCs w:val="20"/>
          <w:lang w:eastAsia="pl-PL"/>
        </w:rPr>
        <w:t>nie dopuszcza takiej możliwości</w:t>
      </w:r>
      <w:r w:rsidRPr="002977E2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2977E2" w:rsidRPr="00FB385F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AC538D" w:rsidRPr="00AC538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zaakceptowania przyjęcia systemu rozliczeń opartego na Programie „Twoja Lokalna Stacja”?</w:t>
      </w:r>
    </w:p>
    <w:p w:rsidR="0058490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Program „Twoja Lokalna Stacja” jest ofertą skierowaną do Zamawiającego, który deklaruje zakupy wyłącznie ON w wysokości minimum 10 000 l miesięcznie na jednej wybranej stacji paliw. W ramach oferty „Twoja Lokalna Stacja” cena tankowania naliczana jest na bazie SPOT (ceny hurtowej PKN ORLEN) publikowanej na stronie internetowej www.orlen.pl, powiększonej o podatek VAT i stały narzut zaproponowany Zamawiającemu i wpisany do umowy. Cena płacona przez Zamawiającego na „Twojej Lokalnej Stacji” będzie zatem uzależniona od wysokości SPOT w danym dniu.</w:t>
      </w:r>
    </w:p>
    <w:p w:rsidR="001C79FB" w:rsidRP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1C79FB" w:rsidRP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dopuszcza proponowanego systemu rozliczeń</w:t>
      </w: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C79FB" w:rsidRPr="00AC538D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AC538D" w:rsidRPr="00AC538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 xml:space="preserve">Czy wyrazicie Państwo zgodę na odstąpienie od zapisu w  § 2 ust 1 i zaakceptowania   poniższego: </w:t>
      </w:r>
    </w:p>
    <w:p w:rsidR="0058490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„Zakupy oleju napędowego w stacji paliw wskazanej przez Wykonawcę dokonywane będą przez Zamawiającego w cenach oleju napędowego producenta krajowego tj.PKN ORLEN S.A podanych na stronie internetowej: http://www.orlen.pl na dzień dokonania zakupu przeliczonych na  1 litr oleju napędowego z VAT, pomniejszonych o upust określony w ofercie Wykonawcy…z VAT za 1 litr oleju napędowego, który jest stały przez okres trwania umowy?</w:t>
      </w:r>
    </w:p>
    <w:p w:rsidR="001C79FB" w:rsidRPr="001C79FB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1C79FB" w:rsidRPr="001C79FB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Odpowiedzi w tym zakresie udzielono na pytanie nr 6.</w:t>
      </w:r>
    </w:p>
    <w:p w:rsidR="001C79FB" w:rsidRPr="00AC538D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AC538D" w:rsidRPr="00AC538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 xml:space="preserve">Czy Zamawiający, w przypadku braku zgody na Program „Twoja Lokalna Stacja” wyrazi  zgodę na odstąpienie od marży liczonej w % i zaakceptuje marże w  PLN (projekt umowy  § 2 ust 1 ) a tym samym dokona zmiany w formularzu ofertowym  pkt. 2? </w:t>
      </w:r>
    </w:p>
    <w:p w:rsidR="0058490D" w:rsidRDefault="00AC538D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Wykonawca udziela marży tylko w PLN.</w:t>
      </w:r>
    </w:p>
    <w:p w:rsidR="001C79FB" w:rsidRP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1C79FB" w:rsidRP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Zamawiający podtrzymuje w tym zakresie dotychczasowe zapisy SIWZ.</w:t>
      </w:r>
    </w:p>
    <w:p w:rsidR="001C79FB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79FB" w:rsidRPr="00AC538D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15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AC538D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Czy Zamawiający wyrazi zgodę  po wyłonieniu Wykonawcy podpisania umowy droga korespondencyjną  formularzu ofertowym  pkt. 7?</w:t>
      </w:r>
    </w:p>
    <w:p w:rsidR="001C79FB" w:rsidRP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1C79FB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C79F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dopuszcza taką możliwość.</w:t>
      </w:r>
    </w:p>
    <w:p w:rsidR="001C79FB" w:rsidRPr="00AC538D" w:rsidRDefault="001C79FB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6:</w:t>
      </w:r>
    </w:p>
    <w:p w:rsidR="0058490D" w:rsidRPr="00AC538D" w:rsidRDefault="00AC538D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538D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dołączenia już do właściwej umowy (po wyborze oferenta) załącznika w postaci Ogólnych Warunków Sprzedaży i Używania Kart Paliwowych Wykonawcy z dnia 24.5.2018 r, -  w odniesieniu do kwestii nie uregulowanych w umowie (wskazany regulamin stanowi załącznik niniejszej korespondencji)?</w:t>
      </w:r>
    </w:p>
    <w:p w:rsidR="003B68CE" w:rsidRPr="003B68CE" w:rsidRDefault="003B68CE" w:rsidP="003B68C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68CE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3B68CE" w:rsidRPr="003B68CE" w:rsidRDefault="003B68CE" w:rsidP="003B68C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68C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zawiązku z odpowiedzią na pytanie nr 1 Zamawiający nie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dopuszcza takiej możliwości.</w:t>
      </w:r>
    </w:p>
    <w:p w:rsidR="0058490D" w:rsidRDefault="0058490D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8490D" w:rsidRPr="00E93CE4" w:rsidRDefault="0058490D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941E7" w:rsidRDefault="009941E7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oraz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są wiążące dla wszystkich wykonawców, którzy przystąpią do udziału w postępowaniu 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Biorąc pod uwagę powyższe wykonawcy 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przygotowywaniu oferty 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zobowiązani są uwzględnić powyższe doprecyzo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wania</w:t>
      </w:r>
      <w:r w:rsidR="00F858C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66" w:rsidRDefault="000B7E66" w:rsidP="00B76C3B">
      <w:pPr>
        <w:spacing w:after="0" w:line="240" w:lineRule="auto"/>
      </w:pPr>
      <w:r>
        <w:separator/>
      </w:r>
    </w:p>
  </w:endnote>
  <w:endnote w:type="continuationSeparator" w:id="0">
    <w:p w:rsidR="000B7E66" w:rsidRDefault="000B7E66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3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66" w:rsidRDefault="000B7E66" w:rsidP="00B76C3B">
      <w:pPr>
        <w:spacing w:after="0" w:line="240" w:lineRule="auto"/>
      </w:pPr>
      <w:r>
        <w:separator/>
      </w:r>
    </w:p>
  </w:footnote>
  <w:footnote w:type="continuationSeparator" w:id="0">
    <w:p w:rsidR="000B7E66" w:rsidRDefault="000B7E66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E66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C79FB"/>
    <w:rsid w:val="001D4A61"/>
    <w:rsid w:val="001E2AB4"/>
    <w:rsid w:val="001E3DCF"/>
    <w:rsid w:val="0021110F"/>
    <w:rsid w:val="00220551"/>
    <w:rsid w:val="00241330"/>
    <w:rsid w:val="002977E2"/>
    <w:rsid w:val="002A213F"/>
    <w:rsid w:val="002A7CB9"/>
    <w:rsid w:val="002E1D52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B68CE"/>
    <w:rsid w:val="003D22DC"/>
    <w:rsid w:val="003D38F6"/>
    <w:rsid w:val="003E4F0E"/>
    <w:rsid w:val="003E5674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D069F"/>
    <w:rsid w:val="004D38C4"/>
    <w:rsid w:val="004F176A"/>
    <w:rsid w:val="00505061"/>
    <w:rsid w:val="00551F6D"/>
    <w:rsid w:val="0058490D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C24DC"/>
    <w:rsid w:val="008E5555"/>
    <w:rsid w:val="008E62A2"/>
    <w:rsid w:val="00914F39"/>
    <w:rsid w:val="00920611"/>
    <w:rsid w:val="0092533B"/>
    <w:rsid w:val="009352A7"/>
    <w:rsid w:val="00950C4B"/>
    <w:rsid w:val="00986980"/>
    <w:rsid w:val="00993FFA"/>
    <w:rsid w:val="009941E7"/>
    <w:rsid w:val="00994486"/>
    <w:rsid w:val="009C0928"/>
    <w:rsid w:val="00A12727"/>
    <w:rsid w:val="00A70533"/>
    <w:rsid w:val="00A85260"/>
    <w:rsid w:val="00A908A3"/>
    <w:rsid w:val="00AC0028"/>
    <w:rsid w:val="00AC538D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128C"/>
    <w:rsid w:val="00C40C74"/>
    <w:rsid w:val="00C5511C"/>
    <w:rsid w:val="00C665EF"/>
    <w:rsid w:val="00C86C94"/>
    <w:rsid w:val="00CB1DFA"/>
    <w:rsid w:val="00CB6A5C"/>
    <w:rsid w:val="00CB71D4"/>
    <w:rsid w:val="00CD3944"/>
    <w:rsid w:val="00CE7BF3"/>
    <w:rsid w:val="00CF119D"/>
    <w:rsid w:val="00CF787A"/>
    <w:rsid w:val="00D13EF9"/>
    <w:rsid w:val="00D31080"/>
    <w:rsid w:val="00D54B01"/>
    <w:rsid w:val="00D61EF1"/>
    <w:rsid w:val="00DB0745"/>
    <w:rsid w:val="00DC29EC"/>
    <w:rsid w:val="00DD5675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B385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5F73-62EC-44CA-B12B-1FF600E9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2156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12</cp:revision>
  <cp:lastPrinted>2019-09-10T06:41:00Z</cp:lastPrinted>
  <dcterms:created xsi:type="dcterms:W3CDTF">2019-05-21T16:47:00Z</dcterms:created>
  <dcterms:modified xsi:type="dcterms:W3CDTF">2019-09-10T11:52:00Z</dcterms:modified>
</cp:coreProperties>
</file>