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93" w:rsidRPr="00EE4590" w:rsidRDefault="00B771E4" w:rsidP="00E93CE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B771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06B93">
        <w:rPr>
          <w:rFonts w:ascii="Tahoma" w:hAnsi="Tahoma" w:cs="Tahoma"/>
          <w:sz w:val="20"/>
          <w:szCs w:val="20"/>
        </w:rPr>
        <w:t>Tomaszów Mazowiecki, dnia</w:t>
      </w:r>
      <w:r w:rsidR="00006B93" w:rsidRPr="00EE4590">
        <w:rPr>
          <w:rFonts w:ascii="Tahoma" w:hAnsi="Tahoma" w:cs="Tahoma"/>
          <w:sz w:val="20"/>
          <w:szCs w:val="20"/>
        </w:rPr>
        <w:t xml:space="preserve"> </w:t>
      </w:r>
      <w:r w:rsidR="00593CE6">
        <w:rPr>
          <w:rFonts w:ascii="Tahoma" w:hAnsi="Tahoma" w:cs="Tahoma"/>
          <w:sz w:val="20"/>
          <w:szCs w:val="20"/>
        </w:rPr>
        <w:t>1</w:t>
      </w:r>
      <w:r w:rsidR="0058490D">
        <w:rPr>
          <w:rFonts w:ascii="Tahoma" w:hAnsi="Tahoma" w:cs="Tahoma"/>
          <w:sz w:val="20"/>
          <w:szCs w:val="20"/>
        </w:rPr>
        <w:t>0</w:t>
      </w:r>
      <w:r w:rsidR="00950C4B">
        <w:rPr>
          <w:rFonts w:ascii="Tahoma" w:hAnsi="Tahoma" w:cs="Tahoma"/>
          <w:sz w:val="20"/>
          <w:szCs w:val="20"/>
        </w:rPr>
        <w:t>.0</w:t>
      </w:r>
      <w:r w:rsidR="0058490D">
        <w:rPr>
          <w:rFonts w:ascii="Tahoma" w:hAnsi="Tahoma" w:cs="Tahoma"/>
          <w:sz w:val="20"/>
          <w:szCs w:val="20"/>
        </w:rPr>
        <w:t>9</w:t>
      </w:r>
      <w:r w:rsidR="00950C4B">
        <w:rPr>
          <w:rFonts w:ascii="Tahoma" w:hAnsi="Tahoma" w:cs="Tahoma"/>
          <w:sz w:val="20"/>
          <w:szCs w:val="20"/>
        </w:rPr>
        <w:t>.2019</w:t>
      </w: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 wszystkich z</w:t>
      </w:r>
      <w:r w:rsidR="00006B93" w:rsidRPr="0039167B">
        <w:rPr>
          <w:rFonts w:ascii="Tahoma" w:hAnsi="Tahoma" w:cs="Tahoma"/>
          <w:b/>
          <w:sz w:val="28"/>
          <w:szCs w:val="28"/>
        </w:rPr>
        <w:t xml:space="preserve">ainteresowanych </w:t>
      </w:r>
    </w:p>
    <w:p w:rsidR="00006B93" w:rsidRPr="00C72B33" w:rsidRDefault="00006B93" w:rsidP="00E93CE4">
      <w:pPr>
        <w:spacing w:after="0" w:line="240" w:lineRule="auto"/>
        <w:jc w:val="right"/>
        <w:rPr>
          <w:rFonts w:ascii="Tahoma" w:hAnsi="Tahoma" w:cs="Tahoma"/>
          <w:b/>
        </w:rPr>
      </w:pPr>
      <w:r w:rsidRPr="0039167B">
        <w:rPr>
          <w:rFonts w:ascii="Tahoma" w:hAnsi="Tahoma" w:cs="Tahoma"/>
          <w:b/>
          <w:sz w:val="28"/>
          <w:szCs w:val="28"/>
        </w:rPr>
        <w:t>Wykonawców</w:t>
      </w:r>
    </w:p>
    <w:p w:rsidR="00006B93" w:rsidRDefault="00006B93" w:rsidP="00006B9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06B93" w:rsidRPr="00006B93" w:rsidRDefault="00006B93" w:rsidP="00006B93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06B93">
        <w:rPr>
          <w:rFonts w:ascii="Tahoma" w:hAnsi="Tahoma" w:cs="Tahoma"/>
          <w:sz w:val="16"/>
          <w:szCs w:val="16"/>
        </w:rPr>
        <w:t>Numer referencyjny: ZK-PU/0</w:t>
      </w:r>
      <w:r w:rsidR="0058490D">
        <w:rPr>
          <w:rFonts w:ascii="Tahoma" w:hAnsi="Tahoma" w:cs="Tahoma"/>
          <w:sz w:val="16"/>
          <w:szCs w:val="16"/>
        </w:rPr>
        <w:t>6</w:t>
      </w:r>
      <w:r w:rsidRPr="00006B93">
        <w:rPr>
          <w:rFonts w:ascii="Tahoma" w:hAnsi="Tahoma" w:cs="Tahoma"/>
          <w:sz w:val="16"/>
          <w:szCs w:val="16"/>
        </w:rPr>
        <w:t>/0</w:t>
      </w:r>
      <w:r w:rsidR="0058490D">
        <w:rPr>
          <w:rFonts w:ascii="Tahoma" w:hAnsi="Tahoma" w:cs="Tahoma"/>
          <w:sz w:val="16"/>
          <w:szCs w:val="16"/>
        </w:rPr>
        <w:t>9</w:t>
      </w:r>
      <w:r w:rsidRPr="00006B93">
        <w:rPr>
          <w:rFonts w:ascii="Tahoma" w:hAnsi="Tahoma" w:cs="Tahoma"/>
          <w:sz w:val="16"/>
          <w:szCs w:val="16"/>
        </w:rPr>
        <w:t>/2019</w:t>
      </w:r>
    </w:p>
    <w:p w:rsidR="00006B93" w:rsidRPr="00006B93" w:rsidRDefault="00006B93" w:rsidP="00006B93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06B93">
        <w:rPr>
          <w:rFonts w:ascii="Tahoma" w:hAnsi="Tahoma" w:cs="Tahoma"/>
          <w:sz w:val="16"/>
          <w:szCs w:val="16"/>
        </w:rPr>
        <w:t xml:space="preserve">Numer ogłoszenia o zamówieniu: </w:t>
      </w:r>
      <w:r w:rsidR="0058490D" w:rsidRPr="0058490D">
        <w:rPr>
          <w:rFonts w:ascii="Tahoma" w:hAnsi="Tahoma" w:cs="Tahoma"/>
          <w:sz w:val="16"/>
          <w:szCs w:val="16"/>
        </w:rPr>
        <w:t>593159-N-2019 z dnia 2019-09-05 r.</w:t>
      </w:r>
    </w:p>
    <w:p w:rsidR="00006B93" w:rsidRPr="00006B93" w:rsidRDefault="00006B93" w:rsidP="00006B93">
      <w:pPr>
        <w:spacing w:line="240" w:lineRule="auto"/>
        <w:rPr>
          <w:rFonts w:ascii="Tahoma" w:hAnsi="Tahoma" w:cs="Tahoma"/>
          <w:sz w:val="16"/>
          <w:szCs w:val="16"/>
        </w:rPr>
      </w:pPr>
    </w:p>
    <w:p w:rsidR="00006B93" w:rsidRPr="00103B78" w:rsidRDefault="00006B93" w:rsidP="00103B7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03B78">
        <w:rPr>
          <w:rFonts w:ascii="Tahoma" w:hAnsi="Tahoma" w:cs="Tahoma"/>
          <w:sz w:val="20"/>
          <w:szCs w:val="20"/>
        </w:rPr>
        <w:t xml:space="preserve">Dotyczy postępowania o udzielnie zamówienia publicznego prowadzonego w trybie przetargu nieograniczonego na podstawie ustawy z dnia 29 stycznia 2004 r. Prawo zamówień publicznych </w:t>
      </w:r>
      <w:r w:rsidR="005A19A0">
        <w:rPr>
          <w:rFonts w:ascii="Tahoma" w:hAnsi="Tahoma" w:cs="Tahoma"/>
          <w:sz w:val="20"/>
          <w:szCs w:val="20"/>
        </w:rPr>
        <w:t xml:space="preserve">             </w:t>
      </w:r>
      <w:r w:rsidRPr="00103B78">
        <w:rPr>
          <w:rFonts w:ascii="Tahoma" w:hAnsi="Tahoma" w:cs="Tahoma"/>
          <w:sz w:val="20"/>
          <w:szCs w:val="20"/>
        </w:rPr>
        <w:t xml:space="preserve">(Dz. U. z 2018 poz. 1986 ze zm.) pod nazwą: </w:t>
      </w:r>
      <w:r w:rsidR="0058490D" w:rsidRPr="0058490D">
        <w:rPr>
          <w:rFonts w:ascii="Tahoma" w:hAnsi="Tahoma" w:cs="Tahoma"/>
          <w:b/>
          <w:sz w:val="20"/>
          <w:szCs w:val="20"/>
        </w:rPr>
        <w:t>Bezgotówkowy zakup oleju napędowego do specjalistycznych pojazdów do odbioru odpadów.</w:t>
      </w:r>
    </w:p>
    <w:p w:rsidR="001E2AB4" w:rsidRDefault="001E2AB4" w:rsidP="001E2AB4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Działając na podstawie art. 38</w:t>
      </w:r>
      <w:r w:rsidR="0032730F">
        <w:rPr>
          <w:rFonts w:ascii="Tahoma" w:hAnsi="Tahoma" w:cs="Tahoma"/>
          <w:b/>
          <w:sz w:val="20"/>
          <w:szCs w:val="20"/>
        </w:rPr>
        <w:t xml:space="preserve"> ust. 2 ustawy Pzp, udzielam </w:t>
      </w:r>
      <w:r>
        <w:rPr>
          <w:rFonts w:ascii="Tahoma" w:hAnsi="Tahoma" w:cs="Tahoma"/>
          <w:b/>
          <w:sz w:val="20"/>
          <w:szCs w:val="20"/>
        </w:rPr>
        <w:t>wyjaśnień dotyczących zamówienia.</w:t>
      </w:r>
    </w:p>
    <w:p w:rsidR="00E93CE4" w:rsidRPr="00E93CE4" w:rsidRDefault="00E93CE4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93CE4">
        <w:rPr>
          <w:rFonts w:ascii="Tahoma" w:eastAsia="Times New Roman" w:hAnsi="Tahoma" w:cs="Tahoma"/>
          <w:b/>
          <w:sz w:val="20"/>
          <w:szCs w:val="20"/>
          <w:lang w:eastAsia="pl-PL"/>
        </w:rPr>
        <w:t>Pytanie nr 1:</w:t>
      </w:r>
    </w:p>
    <w:p w:rsidR="0058490D" w:rsidRPr="0058490D" w:rsidRDefault="0058490D" w:rsidP="0058490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490D">
        <w:rPr>
          <w:rFonts w:ascii="Tahoma" w:eastAsia="Times New Roman" w:hAnsi="Tahoma" w:cs="Tahoma"/>
          <w:sz w:val="20"/>
          <w:szCs w:val="20"/>
          <w:lang w:eastAsia="pl-PL"/>
        </w:rPr>
        <w:t>Czy Zamawiający dopuszcza możliwość dokonywania zakupu paliwa w formie bezgotówkowej przy użyciu kart paliwowych – mikroprocesorowych kart paliwowych? Karty wydane zostałyby w ciągu 15 dni roboczych od przedłożenia wniosku/zamówienia na karty przez Zamawiającego po podpisaniu umowy. W trakcie realizacji umowy karty wydane byłyby w ciągu 15 dni roboczych od przedłożenia wniosku/zamówienia w przypadku blokady danej karty - utrata, zmiana danych i itp., lub zamówienia nowej karty), przy jednoczesnej akceptacji opłaty za karty:</w:t>
      </w:r>
    </w:p>
    <w:p w:rsidR="0058490D" w:rsidRPr="0058490D" w:rsidRDefault="0058490D" w:rsidP="0058490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490D">
        <w:rPr>
          <w:rFonts w:ascii="Tahoma" w:eastAsia="Times New Roman" w:hAnsi="Tahoma" w:cs="Tahoma"/>
          <w:sz w:val="20"/>
          <w:szCs w:val="20"/>
          <w:lang w:eastAsia="pl-PL"/>
        </w:rPr>
        <w:t>*    0 zł netto za kartę nową,</w:t>
      </w:r>
    </w:p>
    <w:p w:rsidR="00593CE6" w:rsidRDefault="0058490D" w:rsidP="0058490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490D">
        <w:rPr>
          <w:rFonts w:ascii="Tahoma" w:eastAsia="Times New Roman" w:hAnsi="Tahoma" w:cs="Tahoma"/>
          <w:sz w:val="20"/>
          <w:szCs w:val="20"/>
          <w:lang w:eastAsia="pl-PL"/>
        </w:rPr>
        <w:t>* 10 zł netto za kartę wymienną (na skutek zagubienia, kradzieży, zmiany dotychczasowych danych etc.)</w:t>
      </w:r>
      <w:r w:rsidR="00DC29EC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DC29EC" w:rsidRPr="00DC29EC" w:rsidRDefault="00DC29EC" w:rsidP="0058490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C29EC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DC29EC" w:rsidRDefault="00DC29EC" w:rsidP="0058490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C29EC">
        <w:rPr>
          <w:rFonts w:ascii="Tahoma" w:eastAsia="Times New Roman" w:hAnsi="Tahoma" w:cs="Tahoma"/>
          <w:b/>
          <w:sz w:val="20"/>
          <w:szCs w:val="20"/>
          <w:lang w:eastAsia="pl-PL"/>
        </w:rPr>
        <w:t>Zamawiający nie dopuszcza możliwości dokonywania zakupu paliwa w formie bezgotówkowej przy użyciu kart paliwowych.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DC29EC" w:rsidRPr="00DC29EC" w:rsidRDefault="00DC29EC" w:rsidP="0058490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93CE4" w:rsidRPr="00E93CE4" w:rsidRDefault="00E93CE4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93CE4">
        <w:rPr>
          <w:rFonts w:ascii="Tahoma" w:eastAsia="Times New Roman" w:hAnsi="Tahoma" w:cs="Tahoma"/>
          <w:b/>
          <w:sz w:val="20"/>
          <w:szCs w:val="20"/>
          <w:lang w:eastAsia="pl-PL"/>
        </w:rPr>
        <w:t>Pytanie nr 2:</w:t>
      </w:r>
    </w:p>
    <w:p w:rsidR="00593CE6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C74">
        <w:rPr>
          <w:rFonts w:ascii="Tahoma" w:eastAsia="Times New Roman" w:hAnsi="Tahoma" w:cs="Tahoma"/>
          <w:sz w:val="20"/>
          <w:szCs w:val="20"/>
          <w:lang w:eastAsia="pl-PL"/>
        </w:rPr>
        <w:t>Czy Zamawiający zaakceptuje procedurę odbioru paliwa bezgotówkowego tankowania paliwa za pomocą kart flotowych i doda stosowny zapis w § 1 umowy?</w:t>
      </w:r>
    </w:p>
    <w:p w:rsidR="00C40C74" w:rsidRPr="00C40C74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C74">
        <w:rPr>
          <w:rFonts w:ascii="Tahoma" w:eastAsia="Times New Roman" w:hAnsi="Tahoma" w:cs="Tahoma"/>
          <w:sz w:val="20"/>
          <w:szCs w:val="20"/>
          <w:lang w:eastAsia="pl-PL"/>
        </w:rPr>
        <w:t xml:space="preserve">Wykonawca umożliwi Zamawiającemu korzystanie z kart mikroprocesorowych, które pozwalają na dokonywanie bezgotówkowych zakupów paliw i usług w sieci stacji paliw </w:t>
      </w:r>
      <w:r>
        <w:rPr>
          <w:rFonts w:ascii="Tahoma" w:eastAsia="Times New Roman" w:hAnsi="Tahoma" w:cs="Tahoma"/>
          <w:sz w:val="20"/>
          <w:szCs w:val="20"/>
          <w:lang w:eastAsia="pl-PL"/>
        </w:rPr>
        <w:t>(…)</w:t>
      </w:r>
      <w:r w:rsidRPr="00C40C74">
        <w:rPr>
          <w:rFonts w:ascii="Tahoma" w:eastAsia="Times New Roman" w:hAnsi="Tahoma" w:cs="Tahoma"/>
          <w:sz w:val="20"/>
          <w:szCs w:val="20"/>
          <w:lang w:eastAsia="pl-PL"/>
        </w:rPr>
        <w:t>. To propozycja dla klientów, którzy chcą mieć prosty w obsłudze, przyjazny i przynoszący korzyści ekonomiczne system tankowania paliw i podstawowej obsługi drogowej samochodów. Posiadacze kart flotowych łatwiej i szybciej organizują, a także rozliczają działalność logistyczną swoich firm.</w:t>
      </w:r>
    </w:p>
    <w:p w:rsidR="00C40C74" w:rsidRPr="00C40C74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C74">
        <w:rPr>
          <w:rFonts w:ascii="Tahoma" w:eastAsia="Times New Roman" w:hAnsi="Tahoma" w:cs="Tahoma"/>
          <w:sz w:val="20"/>
          <w:szCs w:val="20"/>
          <w:lang w:eastAsia="pl-PL"/>
        </w:rPr>
        <w:t xml:space="preserve">Karta Flotowa. wyposażona jest w mikroprocesor, który umożliwia: </w:t>
      </w:r>
    </w:p>
    <w:p w:rsidR="00C40C74" w:rsidRPr="00C40C74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C74">
        <w:rPr>
          <w:rFonts w:ascii="Tahoma" w:eastAsia="Times New Roman" w:hAnsi="Tahoma" w:cs="Tahoma"/>
          <w:sz w:val="20"/>
          <w:szCs w:val="20"/>
          <w:lang w:eastAsia="pl-PL"/>
        </w:rPr>
        <w:t>•</w:t>
      </w:r>
      <w:r w:rsidRPr="00C40C74">
        <w:rPr>
          <w:rFonts w:ascii="Tahoma" w:eastAsia="Times New Roman" w:hAnsi="Tahoma" w:cs="Tahoma"/>
          <w:sz w:val="20"/>
          <w:szCs w:val="20"/>
          <w:lang w:eastAsia="pl-PL"/>
        </w:rPr>
        <w:tab/>
        <w:t>kontrolowanie częstotliwości wizyt na stacjach paliwowych Koncernu,</w:t>
      </w:r>
    </w:p>
    <w:p w:rsidR="00C40C74" w:rsidRPr="00C40C74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C74">
        <w:rPr>
          <w:rFonts w:ascii="Tahoma" w:eastAsia="Times New Roman" w:hAnsi="Tahoma" w:cs="Tahoma"/>
          <w:sz w:val="20"/>
          <w:szCs w:val="20"/>
          <w:lang w:eastAsia="pl-PL"/>
        </w:rPr>
        <w:t>•</w:t>
      </w:r>
      <w:r w:rsidRPr="00C40C74">
        <w:rPr>
          <w:rFonts w:ascii="Tahoma" w:eastAsia="Times New Roman" w:hAnsi="Tahoma" w:cs="Tahoma"/>
          <w:sz w:val="20"/>
          <w:szCs w:val="20"/>
          <w:lang w:eastAsia="pl-PL"/>
        </w:rPr>
        <w:tab/>
        <w:t>monitorowanie wartości zakupionego paliwa oraz innych towarów i usług,</w:t>
      </w:r>
    </w:p>
    <w:p w:rsidR="00C40C74" w:rsidRPr="00C40C74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C74">
        <w:rPr>
          <w:rFonts w:ascii="Tahoma" w:eastAsia="Times New Roman" w:hAnsi="Tahoma" w:cs="Tahoma"/>
          <w:sz w:val="20"/>
          <w:szCs w:val="20"/>
          <w:lang w:eastAsia="pl-PL"/>
        </w:rPr>
        <w:t>•</w:t>
      </w:r>
      <w:r w:rsidRPr="00C40C74">
        <w:rPr>
          <w:rFonts w:ascii="Tahoma" w:eastAsia="Times New Roman" w:hAnsi="Tahoma" w:cs="Tahoma"/>
          <w:sz w:val="20"/>
          <w:szCs w:val="20"/>
          <w:lang w:eastAsia="pl-PL"/>
        </w:rPr>
        <w:tab/>
        <w:t>sprawdzanie stanu licznika kilometrów,</w:t>
      </w:r>
    </w:p>
    <w:p w:rsidR="00C40C74" w:rsidRPr="00C40C74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C74">
        <w:rPr>
          <w:rFonts w:ascii="Tahoma" w:eastAsia="Times New Roman" w:hAnsi="Tahoma" w:cs="Tahoma"/>
          <w:sz w:val="20"/>
          <w:szCs w:val="20"/>
          <w:lang w:eastAsia="pl-PL"/>
        </w:rPr>
        <w:t>•</w:t>
      </w:r>
      <w:r w:rsidRPr="00C40C74">
        <w:rPr>
          <w:rFonts w:ascii="Tahoma" w:eastAsia="Times New Roman" w:hAnsi="Tahoma" w:cs="Tahoma"/>
          <w:sz w:val="20"/>
          <w:szCs w:val="20"/>
          <w:lang w:eastAsia="pl-PL"/>
        </w:rPr>
        <w:tab/>
        <w:t>elektroniczne zapisywanie informacji, np. o koncie do zaksięgowania transakcji,</w:t>
      </w:r>
    </w:p>
    <w:p w:rsidR="00C40C74" w:rsidRPr="00C40C74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C74">
        <w:rPr>
          <w:rFonts w:ascii="Tahoma" w:eastAsia="Times New Roman" w:hAnsi="Tahoma" w:cs="Tahoma"/>
          <w:sz w:val="20"/>
          <w:szCs w:val="20"/>
          <w:lang w:eastAsia="pl-PL"/>
        </w:rPr>
        <w:t>•</w:t>
      </w:r>
      <w:r w:rsidRPr="00C40C74">
        <w:rPr>
          <w:rFonts w:ascii="Tahoma" w:eastAsia="Times New Roman" w:hAnsi="Tahoma" w:cs="Tahoma"/>
          <w:sz w:val="20"/>
          <w:szCs w:val="20"/>
          <w:lang w:eastAsia="pl-PL"/>
        </w:rPr>
        <w:tab/>
        <w:t>otrzymanie danych o transakcjach bezgotówkowych w postaci raportu lub pliku e-mail.</w:t>
      </w:r>
    </w:p>
    <w:p w:rsidR="00C40C74" w:rsidRPr="00C40C74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40C74" w:rsidRPr="00C40C74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C74">
        <w:rPr>
          <w:rFonts w:ascii="Tahoma" w:eastAsia="Times New Roman" w:hAnsi="Tahoma" w:cs="Tahoma"/>
          <w:sz w:val="20"/>
          <w:szCs w:val="20"/>
          <w:lang w:eastAsia="pl-PL"/>
        </w:rPr>
        <w:t>Wszystkie Karty Flotowe są zabezpieczone poufnym kodem identyfikacyjnym PIN, który znany jest jedynie ich użytkownikom i spełniają bankowe standardy zabezpieczeń. Wykonawca oferuje dwa rodzaje Kart Flotowych:</w:t>
      </w:r>
    </w:p>
    <w:p w:rsidR="00C40C74" w:rsidRPr="00C40C74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C74">
        <w:rPr>
          <w:rFonts w:ascii="Tahoma" w:eastAsia="Times New Roman" w:hAnsi="Tahoma" w:cs="Tahoma"/>
          <w:sz w:val="20"/>
          <w:szCs w:val="20"/>
          <w:lang w:eastAsia="pl-PL"/>
        </w:rPr>
        <w:t></w:t>
      </w:r>
      <w:r w:rsidRPr="00C40C74">
        <w:rPr>
          <w:rFonts w:ascii="Tahoma" w:eastAsia="Times New Roman" w:hAnsi="Tahoma" w:cs="Tahoma"/>
          <w:sz w:val="20"/>
          <w:szCs w:val="20"/>
          <w:lang w:eastAsia="pl-PL"/>
        </w:rPr>
        <w:tab/>
        <w:t>kartę typu „K” – wystawianą imiennie na kierowcę</w:t>
      </w:r>
    </w:p>
    <w:p w:rsidR="00C40C74" w:rsidRPr="00C40C74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C74">
        <w:rPr>
          <w:rFonts w:ascii="Tahoma" w:eastAsia="Times New Roman" w:hAnsi="Tahoma" w:cs="Tahoma"/>
          <w:sz w:val="20"/>
          <w:szCs w:val="20"/>
          <w:lang w:eastAsia="pl-PL"/>
        </w:rPr>
        <w:t></w:t>
      </w:r>
      <w:r w:rsidRPr="00C40C74">
        <w:rPr>
          <w:rFonts w:ascii="Tahoma" w:eastAsia="Times New Roman" w:hAnsi="Tahoma" w:cs="Tahoma"/>
          <w:sz w:val="20"/>
          <w:szCs w:val="20"/>
          <w:lang w:eastAsia="pl-PL"/>
        </w:rPr>
        <w:tab/>
        <w:t>kartę typu „S” – wystawianą na numer rejestracyjny pojazdu</w:t>
      </w:r>
    </w:p>
    <w:p w:rsidR="00C40C74" w:rsidRPr="00C40C74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C74">
        <w:rPr>
          <w:rFonts w:ascii="Tahoma" w:eastAsia="Times New Roman" w:hAnsi="Tahoma" w:cs="Tahoma"/>
          <w:sz w:val="20"/>
          <w:szCs w:val="20"/>
          <w:lang w:eastAsia="pl-PL"/>
        </w:rPr>
        <w:t>Dla każdej karty Klient może określić - według własnych potrzeb - limity:</w:t>
      </w:r>
    </w:p>
    <w:p w:rsidR="00C40C74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C74">
        <w:rPr>
          <w:rFonts w:ascii="Tahoma" w:eastAsia="Times New Roman" w:hAnsi="Tahoma" w:cs="Tahoma"/>
          <w:sz w:val="20"/>
          <w:szCs w:val="20"/>
          <w:lang w:eastAsia="pl-PL"/>
        </w:rPr>
        <w:t></w:t>
      </w:r>
      <w:r w:rsidRPr="00C40C74">
        <w:rPr>
          <w:rFonts w:ascii="Tahoma" w:eastAsia="Times New Roman" w:hAnsi="Tahoma" w:cs="Tahoma"/>
          <w:sz w:val="20"/>
          <w:szCs w:val="20"/>
          <w:lang w:eastAsia="pl-PL"/>
        </w:rPr>
        <w:tab/>
        <w:t>ilości zakupionych paliw (limit dzienny, miesięczny wyrażony w litrach)</w:t>
      </w:r>
    </w:p>
    <w:p w:rsidR="00C40C74" w:rsidRPr="00C40C74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C74">
        <w:rPr>
          <w:rFonts w:ascii="Tahoma" w:eastAsia="Times New Roman" w:hAnsi="Tahoma" w:cs="Tahoma"/>
          <w:sz w:val="20"/>
          <w:szCs w:val="20"/>
          <w:lang w:eastAsia="pl-PL"/>
        </w:rPr>
        <w:t></w:t>
      </w:r>
      <w:r w:rsidRPr="00C40C74">
        <w:rPr>
          <w:rFonts w:ascii="Tahoma" w:eastAsia="Times New Roman" w:hAnsi="Tahoma" w:cs="Tahoma"/>
          <w:sz w:val="20"/>
          <w:szCs w:val="20"/>
          <w:lang w:eastAsia="pl-PL"/>
        </w:rPr>
        <w:tab/>
        <w:t>wartości zakupionych produktów i usług (limit dzienny, miesięczny wyrażony w pln)</w:t>
      </w:r>
    </w:p>
    <w:p w:rsidR="00C40C74" w:rsidRPr="00C40C74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C74">
        <w:rPr>
          <w:rFonts w:ascii="Tahoma" w:eastAsia="Times New Roman" w:hAnsi="Tahoma" w:cs="Tahoma"/>
          <w:sz w:val="20"/>
          <w:szCs w:val="20"/>
          <w:lang w:eastAsia="pl-PL"/>
        </w:rPr>
        <w:t>Na życzenie Klienta istnieje możliwość uruchomienia opcji obligującej użytkownika karty (kierowcę) do podawania przy każdym tankowaniu stanu licznika kilometrów lub numeru konta do księgowania transakcji.</w:t>
      </w:r>
    </w:p>
    <w:p w:rsidR="00C40C74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C74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Wykonawca po podpisaniu umowy udostępnia portal flotowy - interaktywny system, za pośrednictwem którego, przy indywidualnym przekazaniu loginu i hasła Zamawiający zarządza taborem samochodowym.</w:t>
      </w:r>
    </w:p>
    <w:p w:rsidR="00DC29EC" w:rsidRPr="00DC29EC" w:rsidRDefault="00DC29EC" w:rsidP="00DC29EC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C29EC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C40C74" w:rsidRDefault="00DC29EC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W zawiązku z odpowiedzią na pytanie nr 1 Zamawiający nie akceptuje takiej procedury.</w:t>
      </w:r>
    </w:p>
    <w:p w:rsidR="00DC29EC" w:rsidRDefault="00DC29EC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93CE4" w:rsidRPr="00E93CE4" w:rsidRDefault="00E93CE4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93CE4">
        <w:rPr>
          <w:rFonts w:ascii="Tahoma" w:eastAsia="Times New Roman" w:hAnsi="Tahoma" w:cs="Tahoma"/>
          <w:b/>
          <w:sz w:val="20"/>
          <w:szCs w:val="20"/>
          <w:lang w:eastAsia="pl-PL"/>
        </w:rPr>
        <w:t>Pytanie nr 3:</w:t>
      </w:r>
    </w:p>
    <w:p w:rsidR="00593CE6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C74">
        <w:rPr>
          <w:rFonts w:ascii="Tahoma" w:eastAsia="Times New Roman" w:hAnsi="Tahoma" w:cs="Tahoma"/>
          <w:sz w:val="20"/>
          <w:szCs w:val="20"/>
          <w:lang w:eastAsia="pl-PL"/>
        </w:rPr>
        <w:t>Czy uznacie Państwo warunek za spełniony, jeżeli w  okresie zimowym w przypadku oleju napędowego ,, o polepszonych właściwościach niskotemperaturowych’’  będziecie Państwo  korzystać z oleju napędowego Ekodiesel, który jest dostosowany do warunków atmosferycznych (projekt umowy § 1 ust. 6)?</w:t>
      </w:r>
    </w:p>
    <w:p w:rsidR="00DC29EC" w:rsidRPr="00DC29EC" w:rsidRDefault="00DC29EC" w:rsidP="00DC29EC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C29EC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DC29EC" w:rsidRDefault="00DC29EC" w:rsidP="00C40C7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C29EC">
        <w:rPr>
          <w:rFonts w:ascii="Tahoma" w:eastAsia="Times New Roman" w:hAnsi="Tahoma" w:cs="Tahoma"/>
          <w:b/>
          <w:sz w:val="20"/>
          <w:szCs w:val="20"/>
          <w:lang w:eastAsia="pl-PL"/>
        </w:rPr>
        <w:t>Zamawiający dopuszcza proponowany olej napędowy.</w:t>
      </w:r>
    </w:p>
    <w:p w:rsidR="00DC29EC" w:rsidRPr="00DC29EC" w:rsidRDefault="00DC29EC" w:rsidP="00C40C7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93CE6" w:rsidRPr="00E93CE4" w:rsidRDefault="00E93CE4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93CE4">
        <w:rPr>
          <w:rFonts w:ascii="Tahoma" w:eastAsia="Times New Roman" w:hAnsi="Tahoma" w:cs="Tahoma"/>
          <w:b/>
          <w:sz w:val="20"/>
          <w:szCs w:val="20"/>
          <w:lang w:eastAsia="pl-PL"/>
        </w:rPr>
        <w:t>Pytanie nr 4:</w:t>
      </w:r>
    </w:p>
    <w:p w:rsidR="00C40C74" w:rsidRPr="00C40C74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C74">
        <w:rPr>
          <w:rFonts w:ascii="Tahoma" w:eastAsia="Times New Roman" w:hAnsi="Tahoma" w:cs="Tahoma"/>
          <w:sz w:val="20"/>
          <w:szCs w:val="20"/>
          <w:lang w:eastAsia="pl-PL"/>
        </w:rPr>
        <w:t>Czy Zamawiający dopuszcza możliwość zmiany zapisu w § 1 ust. 6, § 2 ust. 6 i zaakceptowania poniższego sposobu ewidencjonowania transakcji bezgotówkowych:</w:t>
      </w:r>
    </w:p>
    <w:p w:rsidR="00C40C74" w:rsidRPr="00C40C74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C74">
        <w:rPr>
          <w:rFonts w:ascii="Tahoma" w:eastAsia="Times New Roman" w:hAnsi="Tahoma" w:cs="Tahoma"/>
          <w:sz w:val="20"/>
          <w:szCs w:val="20"/>
          <w:lang w:eastAsia="pl-PL"/>
        </w:rPr>
        <w:t>„Każda transakcja bezgotówkowa zostanie zarejestrowana w systemie z podaniem numeru transakcji bezgotówkowej, daty, miejsca, wartości i ilości zakupionych produktów lub usług. dokonanie przez użytkownika kart flotowych transakcji bezgotówkowej potwierdzone zostanie wydrukiem z terminalu albo pokwitowaniem. Użytkownik kart flotowych, sprawdzi prawidłowość danych w nich zawartych i otrzyma jego egzemplarz.”</w:t>
      </w:r>
    </w:p>
    <w:p w:rsidR="00C40C74" w:rsidRPr="00C40C74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C74">
        <w:rPr>
          <w:rFonts w:ascii="Tahoma" w:eastAsia="Times New Roman" w:hAnsi="Tahoma" w:cs="Tahoma"/>
          <w:sz w:val="20"/>
          <w:szCs w:val="20"/>
          <w:lang w:eastAsia="pl-PL"/>
        </w:rPr>
        <w:t>Dokument wydania paliwa generowany jest po zatwierdzeniu transakcji poprawnym kodem PIN, w związku z czym nie ma konieczności potwierdzania dokumentu podpisem osoby pobierającej paliwo. Poprawność dokonanej transakcji wskazuje zapis/informacja: ”KOD PIN POPRAWNY”.?</w:t>
      </w:r>
    </w:p>
    <w:p w:rsidR="00E93CE4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C74">
        <w:rPr>
          <w:rFonts w:ascii="Tahoma" w:eastAsia="Times New Roman" w:hAnsi="Tahoma" w:cs="Tahoma"/>
          <w:sz w:val="20"/>
          <w:szCs w:val="20"/>
          <w:lang w:eastAsia="pl-PL"/>
        </w:rPr>
        <w:t>Ponadto Wykonawca informuje, że załącznik do faktury stanowiący jej integralną część zawiera wykaz  wszystkich zakupów z danego okresu rozliczeniowego dokonywanych na poszczególne karty paliwowe , t.j.: numery kart, numery rejestracyjne pojazdów, ilość i ceny jednostkowe brutto zakupionych paliw lub liczbę towarów i usług, wartość (netto, brutto, VAT) paliw (towarów i usług), pozycję faktury. Dla danej pozycji faktury wskazana jest wartość brutto przed opustem, wielkość opustu, wartość (brutto, VAT, netto)  po opuście.</w:t>
      </w:r>
    </w:p>
    <w:p w:rsidR="00DC29EC" w:rsidRPr="002977E2" w:rsidRDefault="00DC29EC" w:rsidP="00C40C7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977E2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2977E2" w:rsidRDefault="002977E2" w:rsidP="002977E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977E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zawiązku z odpowiedzią na pytanie nr 1 Zamawiający nie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dopuszcza</w:t>
      </w:r>
      <w:r w:rsidRPr="002977E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proponowanego</w:t>
      </w:r>
      <w:r w:rsidRPr="002977E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977E2">
        <w:rPr>
          <w:rFonts w:ascii="Tahoma" w:eastAsia="Times New Roman" w:hAnsi="Tahoma" w:cs="Tahoma"/>
          <w:b/>
          <w:sz w:val="20"/>
          <w:szCs w:val="20"/>
          <w:lang w:eastAsia="pl-PL"/>
        </w:rPr>
        <w:t>sposobu ewidencjonowania transakcji bezgotówkowych.</w:t>
      </w:r>
    </w:p>
    <w:p w:rsidR="002977E2" w:rsidRPr="002977E2" w:rsidRDefault="002977E2" w:rsidP="002977E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93CE6" w:rsidRPr="00CD3944" w:rsidRDefault="00E93CE4" w:rsidP="00E93CE4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CD3944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Pytanie nr 5:</w:t>
      </w:r>
    </w:p>
    <w:p w:rsidR="00E93CE4" w:rsidRPr="00CD3944" w:rsidRDefault="00C40C74" w:rsidP="00E93CE4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CD3944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Czy Zamawiający wyrazi zgodę na odstąpienie od podpisania umowy na przetwarzanie danych osobowych (projekt umowy  § 1 ust. 8 ?</w:t>
      </w:r>
    </w:p>
    <w:p w:rsidR="00C40C74" w:rsidRPr="00CD3944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CD3944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W realizacji umowy nie zachodzi  przetwarzanie  danych osobowych.</w:t>
      </w:r>
    </w:p>
    <w:p w:rsidR="00C40C74" w:rsidRPr="00CD3944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CD3944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W przypadku przekazania danych osobowych pracowników w zakresie imienia, nazwiska, służbowego numeru telefonu oraz/lub służbowego adresu poczty elektronicznej w celu zapewnienia komunikacji w związku z wykonaniem umowy trudno jest mówić o powierzeniu przetwarzania danych osobowych. Podmiot, który otrzymuje dane osobowe  pracowników zatrudnionych przez swojego kontrahenta nie przetwarza ich dla celów tego kontrahenta a dla swoich własnych (czyli zachodzi udostępnienie). Komunikacja pomiędzy uczestnikami umowy  w związku z prowadzonymi wspólnie interesami stanowi w oczywisty sposób prawnie uzasadniony interes każdego z tych podmiotów – nie da się prowadzić działalności bez kontaktu z innymi podmiotami na rynku. Tymczasem w ramach takiego kontaktu może dochodzić do przetwarzania danych osobowych. Jeśli chodzi przekazywania danych do kontaktu przez strony umowy stanowisko swoje wyraził ówczesny Generalny Inspektor Ochrony Danych Osobowych w kwestii udostępniania danych osobowych pracowników gdzie powołał się na wyrok Sądu Najwyższego z dnia 19 listopada 2003 r.; sygn. I PK 590/02, zgodnie z którym: „najistotniejszym składnikiem zakładu pracy (przedsiębiorstwa) są ludzie, a funkcjonowanie zakładu wiąże się nierozłącznie z kontaktami zewnętrznymi – z kontrahentami, klientami (…). Dlatego pracodawca nie może być pozbawiony możliwości ujawniania nazwisk pracowników, zajmujących określone stanowiska w ramach instytucji. Przeciwne stanowisko prowadziłoby do sparaliżowania lub poważnego ograniczenia możliwości działania pracodawcy, bez żadnego rozsądnego uzasadnienia w ochronie interesów i praw pracownika.(…) Imiona i nazwiska pracowników widnieją na drzwiach w zakładach pracy, umieszcza się je na pieczątkach imiennych, pismach sporządzanych w związku z pracą, </w:t>
      </w:r>
      <w:r w:rsidRPr="00CD3944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lastRenderedPageBreak/>
        <w:t xml:space="preserve">prezentuje w informatorach o instytucjach i przedsiębiorstwach, co oznacza, że zgodnie z powszechną praktyką są one zasadniczo jawne”. Zamiast załącznika nr 6 - umowa powierzenia danych rekomenduję wstawienie poniższego zapisu wraz z załącznikiem w postaci klauzuli informacyjnej dla pracowników Zamawiającego: "Zamawiający zobowiązany jest do wypełnienia, w imieniu Wykonawcy jako Administratora danych w rozumieniu obowiązujących przepisów prawa o ochronie danych osobowych, niezwłocznie, jednakże nie później niż w terminie 30 (trzydzieści) dni od dnia zawarcia niniejszej umowy z Wykonawcą, obowiązku informacyjnego  wobec osób fizycznych zatrudnionych przez Zamawiającego lub współpracujących z Zamawiającym przy zawarciu lub realizacji niniejszej umowy - bez względu na podstawę prawną tej współpracy - których dane osobowe udostępnione </w:t>
      </w:r>
      <w:bookmarkStart w:id="0" w:name="_GoBack"/>
      <w:bookmarkEnd w:id="0"/>
      <w:r w:rsidRPr="00CD3944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zostały Wykonawcy przez Zamawiającego w związku z zawarciem lub realizacją niniejszej umowy. Obowiązek, o którym mowa w zdaniu poprzedzającym powinien zostać spełniony poprzez przekazanie tym osobom klauzuli informacyjnej stanowiącej Załącznik nr … do niniejszej umowy, przy jednoczesnym zachowaniu zasady rozliczalności."?</w:t>
      </w:r>
    </w:p>
    <w:p w:rsidR="002977E2" w:rsidRPr="00CD3944" w:rsidRDefault="002977E2" w:rsidP="002977E2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CD3944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Odpowiedź:</w:t>
      </w:r>
    </w:p>
    <w:p w:rsidR="002977E2" w:rsidRPr="00CD3944" w:rsidRDefault="00CD3944" w:rsidP="00C40C74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CD3944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Zamawiający wymaga </w:t>
      </w:r>
      <w:r w:rsidRPr="00CD3944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podpisania umowy na przetwarzanie danych osobowych</w:t>
      </w:r>
      <w:r w:rsidRPr="00CD3944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.</w:t>
      </w:r>
    </w:p>
    <w:p w:rsidR="00CD3944" w:rsidRPr="00C40C74" w:rsidRDefault="00CD3944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93CE4" w:rsidRDefault="00E93CE4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93CE4">
        <w:rPr>
          <w:rFonts w:ascii="Tahoma" w:eastAsia="Times New Roman" w:hAnsi="Tahoma" w:cs="Tahoma"/>
          <w:b/>
          <w:sz w:val="20"/>
          <w:szCs w:val="20"/>
          <w:lang w:eastAsia="pl-PL"/>
        </w:rPr>
        <w:t>Pytani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e nr 6</w:t>
      </w:r>
      <w:r w:rsidRPr="00E93CE4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C40C74" w:rsidRPr="00C40C74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40C7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Czy wyrazicie Państwo zgodę na odstąpienie od zapisu w  § 2 ust 1 i zaakceptowania   poniższego: </w:t>
      </w:r>
    </w:p>
    <w:p w:rsidR="0058490D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C74">
        <w:rPr>
          <w:rFonts w:ascii="Tahoma" w:eastAsia="Times New Roman" w:hAnsi="Tahoma" w:cs="Tahoma"/>
          <w:sz w:val="20"/>
          <w:szCs w:val="20"/>
          <w:lang w:eastAsia="pl-PL"/>
        </w:rPr>
        <w:t>„Zakupy oleju napędowego w stacji paliw wskazanej przez Wykonawcę dokonywane będą przez Zamawiającego w cenach oleju napędowego producenta krajowego tj.PKN ORLEN S.A podanych na stronie internetowej: http://www.orlen.pl na dzień dokonania zakupu przeliczonych na  1 litr oleju napędowego z VAT, pomniejszonych o upust określony w ofercie Wykonawcy…z VAT za 1 litr oleju napędowego, który jest stały przez okres trwania umowy?</w:t>
      </w:r>
    </w:p>
    <w:p w:rsidR="002977E2" w:rsidRPr="002977E2" w:rsidRDefault="002977E2" w:rsidP="002977E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977E2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2977E2" w:rsidRDefault="002977E2" w:rsidP="00C40C7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977E2">
        <w:rPr>
          <w:rFonts w:ascii="Tahoma" w:eastAsia="Times New Roman" w:hAnsi="Tahoma" w:cs="Tahoma"/>
          <w:b/>
          <w:sz w:val="20"/>
          <w:szCs w:val="20"/>
          <w:lang w:eastAsia="pl-PL"/>
        </w:rPr>
        <w:t>Zamawiający podtrzymuje w tym zakresie dotychczasowe zapisy SIWZ.</w:t>
      </w:r>
    </w:p>
    <w:p w:rsidR="002977E2" w:rsidRPr="002977E2" w:rsidRDefault="002977E2" w:rsidP="00C40C7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8490D" w:rsidRPr="0058490D" w:rsidRDefault="0058490D" w:rsidP="0058490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7</w:t>
      </w: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C40C74" w:rsidRPr="00C40C74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C74">
        <w:rPr>
          <w:rFonts w:ascii="Tahoma" w:eastAsia="Times New Roman" w:hAnsi="Tahoma" w:cs="Tahoma"/>
          <w:sz w:val="20"/>
          <w:szCs w:val="20"/>
          <w:lang w:eastAsia="pl-PL"/>
        </w:rPr>
        <w:t>Czy Zamawiający dopuszcza możliwość odstąpienia od  zapisu w § 2 ust 6 i zaakceptowania : okresów rozliczeniowych: I okres rozliczeniowy od 1 do 15 dnia miesiąca, II okres rozliczeniowy od 16 do ostatniego dnia miesiąca, na podstawie sporządzonego przez Wykonawcę raportu transakcji. Faktura będzie uwzględniała ilość zakupionych w danym okresie paliw. Za datę sprzedaży uznaje się ostatni dzień danego okresu rozliczeniowego.”</w:t>
      </w:r>
    </w:p>
    <w:p w:rsidR="00C40C74" w:rsidRPr="00C40C74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C74">
        <w:rPr>
          <w:rFonts w:ascii="Tahoma" w:eastAsia="Times New Roman" w:hAnsi="Tahoma" w:cs="Tahoma"/>
          <w:sz w:val="20"/>
          <w:szCs w:val="20"/>
          <w:lang w:eastAsia="pl-PL"/>
        </w:rPr>
        <w:t xml:space="preserve">Lub </w:t>
      </w:r>
    </w:p>
    <w:p w:rsidR="00C40C74" w:rsidRPr="00C40C74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C74">
        <w:rPr>
          <w:rFonts w:ascii="Tahoma" w:eastAsia="Times New Roman" w:hAnsi="Tahoma" w:cs="Tahoma"/>
          <w:sz w:val="20"/>
          <w:szCs w:val="20"/>
          <w:lang w:eastAsia="pl-PL"/>
        </w:rPr>
        <w:t xml:space="preserve">rozliczeniowe  tygodniowych okresów– faktury winny być wystawione w tygodniowych okresach rozliczeniowych wg następującego: </w:t>
      </w:r>
    </w:p>
    <w:p w:rsidR="00C40C74" w:rsidRPr="00C40C74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C74">
        <w:rPr>
          <w:rFonts w:ascii="Tahoma" w:eastAsia="Times New Roman" w:hAnsi="Tahoma" w:cs="Tahoma"/>
          <w:sz w:val="20"/>
          <w:szCs w:val="20"/>
          <w:lang w:eastAsia="pl-PL"/>
        </w:rPr>
        <w:t>- transakcje za okres od 1 do 7 dnia miesiąca wystawione 2 lub 3 dnia roboczego po zakończonym tygodniu</w:t>
      </w:r>
    </w:p>
    <w:p w:rsidR="00C40C74" w:rsidRPr="00C40C74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C74">
        <w:rPr>
          <w:rFonts w:ascii="Tahoma" w:eastAsia="Times New Roman" w:hAnsi="Tahoma" w:cs="Tahoma"/>
          <w:sz w:val="20"/>
          <w:szCs w:val="20"/>
          <w:lang w:eastAsia="pl-PL"/>
        </w:rPr>
        <w:t>- transakcje za okres od 8 do 15 dnia miesiąca wystawione 2 lub 3 dnia roboczego po zakończonym tygodniu</w:t>
      </w:r>
    </w:p>
    <w:p w:rsidR="00C40C74" w:rsidRPr="00C40C74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C74">
        <w:rPr>
          <w:rFonts w:ascii="Tahoma" w:eastAsia="Times New Roman" w:hAnsi="Tahoma" w:cs="Tahoma"/>
          <w:sz w:val="20"/>
          <w:szCs w:val="20"/>
          <w:lang w:eastAsia="pl-PL"/>
        </w:rPr>
        <w:t>- transakcje za okres od 16 do 22 dnia  miesiąca wystawione 2 lub 3 dnia roboczego po zakończonym tygodniu</w:t>
      </w:r>
    </w:p>
    <w:p w:rsidR="00C40C74" w:rsidRPr="00C40C74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C74">
        <w:rPr>
          <w:rFonts w:ascii="Tahoma" w:eastAsia="Times New Roman" w:hAnsi="Tahoma" w:cs="Tahoma"/>
          <w:sz w:val="20"/>
          <w:szCs w:val="20"/>
          <w:lang w:eastAsia="pl-PL"/>
        </w:rPr>
        <w:t>- transakcje za okres od 23 do ostatniego dnia miesiąca wystawione 2 lub 3 dnia roboczego po zakończonym tygodniu,</w:t>
      </w:r>
    </w:p>
    <w:p w:rsidR="0058490D" w:rsidRDefault="00C40C74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C74">
        <w:rPr>
          <w:rFonts w:ascii="Tahoma" w:eastAsia="Times New Roman" w:hAnsi="Tahoma" w:cs="Tahoma"/>
          <w:sz w:val="20"/>
          <w:szCs w:val="20"/>
          <w:lang w:eastAsia="pl-PL"/>
        </w:rPr>
        <w:t>Wykonawca będzie wystawiał faktury dla Zamawiającego po zakończeniu każdego okresu rozliczeniowego?</w:t>
      </w:r>
    </w:p>
    <w:p w:rsidR="002977E2" w:rsidRPr="002977E2" w:rsidRDefault="002977E2" w:rsidP="002977E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977E2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2977E2" w:rsidRPr="002977E2" w:rsidRDefault="002977E2" w:rsidP="002977E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977E2">
        <w:rPr>
          <w:rFonts w:ascii="Tahoma" w:eastAsia="Times New Roman" w:hAnsi="Tahoma" w:cs="Tahoma"/>
          <w:b/>
          <w:sz w:val="20"/>
          <w:szCs w:val="20"/>
          <w:lang w:eastAsia="pl-PL"/>
        </w:rPr>
        <w:t>Zamawiający podtrzymuje w tym zakresie dotychczasowe zapisy SIWZ.</w:t>
      </w:r>
    </w:p>
    <w:p w:rsidR="002977E2" w:rsidRPr="00C40C74" w:rsidRDefault="002977E2" w:rsidP="00C40C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8490D" w:rsidRPr="0058490D" w:rsidRDefault="0058490D" w:rsidP="0058490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8</w:t>
      </w: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FB385F" w:rsidRPr="00FB385F" w:rsidRDefault="00FB385F" w:rsidP="00FB38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85F">
        <w:rPr>
          <w:rFonts w:ascii="Tahoma" w:eastAsia="Times New Roman" w:hAnsi="Tahoma" w:cs="Tahoma"/>
          <w:sz w:val="20"/>
          <w:szCs w:val="20"/>
          <w:lang w:eastAsia="pl-PL"/>
        </w:rPr>
        <w:t>Czy istnieje możliwość zmiany w umowie w § 2 ust. 7 terminu płatności tak, aby wynosił 21 dni i liczony był od daty sprzedaży lub od daty wystawienia faktury, a nie od daty otrzymania faktury do siedziby Zamawiającego? Niestety, nie możemy spełnić wymagań Zamawiającego, ponieważ w systemie rozliczeniowo-księgowym Wykonawcy termin „od otrzymania” , z przyczyn braku możliwości windykacji należności, nie istnieje.</w:t>
      </w:r>
    </w:p>
    <w:p w:rsidR="00FB385F" w:rsidRPr="00FB385F" w:rsidRDefault="00FB385F" w:rsidP="00FB38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85F">
        <w:rPr>
          <w:rFonts w:ascii="Tahoma" w:eastAsia="Times New Roman" w:hAnsi="Tahoma" w:cs="Tahoma"/>
          <w:sz w:val="20"/>
          <w:szCs w:val="20"/>
          <w:lang w:eastAsia="pl-PL"/>
        </w:rPr>
        <w:t xml:space="preserve">W celu usprawnienia procesu otrzymywania faktur VAT, Wykonawca daje możliwość otrzymywania przez Zamawiającego faktury sprzedaży (w tym faktury korygującej/duplikatu) wystawianej w formie elektronicznej, tzw. e-faktura.  </w:t>
      </w:r>
    </w:p>
    <w:p w:rsidR="00E93CE4" w:rsidRDefault="00FB385F" w:rsidP="00FB38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85F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E-faktura posiada taką samą wartość prawną, jak faktura w formie papierowej, zawiera te      same dane w związku z czym zastępuje tradycyjny dokument w wersji papierowej. E-faktura umieszczana jest na specjalnie przeznaczonym Portalu maksymalnie jeden dzień roboczy po wystawieniu w systemie rozliczeniowo - księgowym Wykonawcy</w:t>
      </w:r>
    </w:p>
    <w:p w:rsidR="002977E2" w:rsidRPr="002977E2" w:rsidRDefault="002977E2" w:rsidP="002977E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977E2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2977E2" w:rsidRPr="002977E2" w:rsidRDefault="002977E2" w:rsidP="002977E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977E2">
        <w:rPr>
          <w:rFonts w:ascii="Tahoma" w:eastAsia="Times New Roman" w:hAnsi="Tahoma" w:cs="Tahoma"/>
          <w:b/>
          <w:sz w:val="20"/>
          <w:szCs w:val="20"/>
          <w:lang w:eastAsia="pl-PL"/>
        </w:rPr>
        <w:t>Zamawiający podtrzymuje w tym zakresie dotychczasowe zapisy SIWZ.</w:t>
      </w:r>
    </w:p>
    <w:p w:rsidR="002977E2" w:rsidRPr="00FB385F" w:rsidRDefault="002977E2" w:rsidP="00FB38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8490D" w:rsidRPr="0058490D" w:rsidRDefault="0058490D" w:rsidP="0058490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9</w:t>
      </w: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58490D" w:rsidRDefault="00FB385F" w:rsidP="00FB38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85F">
        <w:rPr>
          <w:rFonts w:ascii="Tahoma" w:eastAsia="Times New Roman" w:hAnsi="Tahoma" w:cs="Tahoma"/>
          <w:sz w:val="20"/>
          <w:szCs w:val="20"/>
          <w:lang w:eastAsia="pl-PL"/>
        </w:rPr>
        <w:t>Czy istnieje możliwość zmiany zapisów w umowie w § 2 ust 7 poprzez odstąpienie od konieczności uzupełnienia nr  konta  na umowie  i zastąpienie słowem: ,, wskazany  na fakturze”?</w:t>
      </w:r>
    </w:p>
    <w:p w:rsidR="002977E2" w:rsidRPr="002977E2" w:rsidRDefault="002977E2" w:rsidP="002977E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977E2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2977E2" w:rsidRDefault="002977E2" w:rsidP="00FB385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977E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Zamawiający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dopuszcza taką możliwość.</w:t>
      </w:r>
    </w:p>
    <w:p w:rsidR="002977E2" w:rsidRPr="00FB385F" w:rsidRDefault="002977E2" w:rsidP="00FB38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8490D" w:rsidRPr="0058490D" w:rsidRDefault="0058490D" w:rsidP="0058490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10</w:t>
      </w: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AC538D" w:rsidRPr="00AC538D" w:rsidRDefault="00AC538D" w:rsidP="00AC53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C538D">
        <w:rPr>
          <w:rFonts w:ascii="Tahoma" w:eastAsia="Times New Roman" w:hAnsi="Tahoma" w:cs="Tahoma"/>
          <w:sz w:val="20"/>
          <w:szCs w:val="20"/>
          <w:lang w:eastAsia="pl-PL"/>
        </w:rPr>
        <w:t>Czy Zamawiający dopuszcza możliwość zmiany zapisu § 3 ust. 1 i zaakceptuje, aby wysokość kary umownej wynosiła 10% wartości niezrealizowanej części umowy?</w:t>
      </w:r>
    </w:p>
    <w:p w:rsidR="0058490D" w:rsidRDefault="00AC538D" w:rsidP="00AC53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C538D">
        <w:rPr>
          <w:rFonts w:ascii="Tahoma" w:eastAsia="Times New Roman" w:hAnsi="Tahoma" w:cs="Tahoma"/>
          <w:sz w:val="20"/>
          <w:szCs w:val="20"/>
          <w:lang w:eastAsia="pl-PL"/>
        </w:rPr>
        <w:t>Zdaniem Wykonawcy  zaproponowana przez Zamawiającego wysokość kary jest zbyt wygórowana.</w:t>
      </w:r>
    </w:p>
    <w:p w:rsidR="002977E2" w:rsidRPr="002977E2" w:rsidRDefault="002977E2" w:rsidP="002977E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977E2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2977E2" w:rsidRPr="002977E2" w:rsidRDefault="002977E2" w:rsidP="002977E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977E2">
        <w:rPr>
          <w:rFonts w:ascii="Tahoma" w:eastAsia="Times New Roman" w:hAnsi="Tahoma" w:cs="Tahoma"/>
          <w:b/>
          <w:sz w:val="20"/>
          <w:szCs w:val="20"/>
          <w:lang w:eastAsia="pl-PL"/>
        </w:rPr>
        <w:t>Zamawiający podtrzymuje w tym zakresie dotychczasowe zapisy SIWZ.</w:t>
      </w:r>
    </w:p>
    <w:p w:rsidR="002977E2" w:rsidRPr="00FB385F" w:rsidRDefault="002977E2" w:rsidP="00AC53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8490D" w:rsidRPr="0058490D" w:rsidRDefault="0058490D" w:rsidP="0058490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11</w:t>
      </w: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58490D" w:rsidRDefault="00AC538D" w:rsidP="00FB38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C538D">
        <w:rPr>
          <w:rFonts w:ascii="Tahoma" w:eastAsia="Times New Roman" w:hAnsi="Tahoma" w:cs="Tahoma"/>
          <w:sz w:val="20"/>
          <w:szCs w:val="20"/>
          <w:lang w:eastAsia="pl-PL"/>
        </w:rPr>
        <w:t>Czy Zamawiający dopuszcza możliwość wyłączenia spod obowiązku zapłaty kary umownej, o której mowa w § 3 ust 2 przypadków: awarii systemu obsługi, przyjęcia paliwa na stację paliw,  modernizacji stacji paliw oraz zdarzeń losowych?</w:t>
      </w:r>
    </w:p>
    <w:p w:rsidR="002977E2" w:rsidRPr="002977E2" w:rsidRDefault="002977E2" w:rsidP="002977E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977E2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2977E2" w:rsidRPr="002977E2" w:rsidRDefault="002977E2" w:rsidP="002977E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977E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Zamawiający </w:t>
      </w:r>
      <w:r w:rsidR="001C79FB">
        <w:rPr>
          <w:rFonts w:ascii="Tahoma" w:eastAsia="Times New Roman" w:hAnsi="Tahoma" w:cs="Tahoma"/>
          <w:b/>
          <w:sz w:val="20"/>
          <w:szCs w:val="20"/>
          <w:lang w:eastAsia="pl-PL"/>
        </w:rPr>
        <w:t>nie dopuszcza takiej możliwości</w:t>
      </w:r>
      <w:r w:rsidRPr="002977E2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2977E2" w:rsidRPr="00FB385F" w:rsidRDefault="002977E2" w:rsidP="00FB38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8490D" w:rsidRPr="0058490D" w:rsidRDefault="0058490D" w:rsidP="0058490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12</w:t>
      </w: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AC538D" w:rsidRPr="00AC538D" w:rsidRDefault="00AC538D" w:rsidP="00AC53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C538D">
        <w:rPr>
          <w:rFonts w:ascii="Tahoma" w:eastAsia="Times New Roman" w:hAnsi="Tahoma" w:cs="Tahoma"/>
          <w:sz w:val="20"/>
          <w:szCs w:val="20"/>
          <w:lang w:eastAsia="pl-PL"/>
        </w:rPr>
        <w:t>Czy Zamawiający dopuszcza możliwość zaakceptowania przyjęcia systemu rozliczeń opartego na Programie „Twoja Lokalna Stacja”?</w:t>
      </w:r>
    </w:p>
    <w:p w:rsidR="0058490D" w:rsidRDefault="00AC538D" w:rsidP="00AC53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C538D">
        <w:rPr>
          <w:rFonts w:ascii="Tahoma" w:eastAsia="Times New Roman" w:hAnsi="Tahoma" w:cs="Tahoma"/>
          <w:sz w:val="20"/>
          <w:szCs w:val="20"/>
          <w:lang w:eastAsia="pl-PL"/>
        </w:rPr>
        <w:t>Program „Twoja Lokalna Stacja” jest ofertą skierowaną do Zamawiającego, który deklaruje zakupy wyłącznie ON w wysokości minimum 10 000 l miesięcznie na jednej wybranej stacji paliw. W ramach oferty „Twoja Lokalna Stacja” cena tankowania naliczana jest na bazie SPOT (ceny hurtowej PKN ORLEN) publikowanej na stronie internetowej www.orlen.pl, powiększonej o podatek VAT i stały narzut zaproponowany Zamawiającemu i wpisany do umowy. Cena płacona przez Zamawiającego na „Twojej Lokalnej Stacji” będzie zatem uzależniona od wysokości SPOT w danym dniu.</w:t>
      </w:r>
    </w:p>
    <w:p w:rsidR="001C79FB" w:rsidRPr="001C79FB" w:rsidRDefault="001C79FB" w:rsidP="001C79F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C79FB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1C79FB" w:rsidRPr="001C79FB" w:rsidRDefault="001C79FB" w:rsidP="001C79F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C79F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Zamawiający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nie dopuszcza proponowanego systemu rozliczeń</w:t>
      </w:r>
      <w:r w:rsidRPr="001C79FB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1C79FB" w:rsidRPr="00AC538D" w:rsidRDefault="001C79FB" w:rsidP="00AC53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8490D" w:rsidRPr="0058490D" w:rsidRDefault="0058490D" w:rsidP="0058490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13</w:t>
      </w: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AC538D" w:rsidRPr="00AC538D" w:rsidRDefault="00AC538D" w:rsidP="00AC53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C538D">
        <w:rPr>
          <w:rFonts w:ascii="Tahoma" w:eastAsia="Times New Roman" w:hAnsi="Tahoma" w:cs="Tahoma"/>
          <w:sz w:val="20"/>
          <w:szCs w:val="20"/>
          <w:lang w:eastAsia="pl-PL"/>
        </w:rPr>
        <w:t xml:space="preserve">Czy wyrazicie Państwo zgodę na odstąpienie od zapisu w  § 2 ust 1 i zaakceptowania   poniższego: </w:t>
      </w:r>
    </w:p>
    <w:p w:rsidR="0058490D" w:rsidRDefault="00AC538D" w:rsidP="00AC53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C538D">
        <w:rPr>
          <w:rFonts w:ascii="Tahoma" w:eastAsia="Times New Roman" w:hAnsi="Tahoma" w:cs="Tahoma"/>
          <w:sz w:val="20"/>
          <w:szCs w:val="20"/>
          <w:lang w:eastAsia="pl-PL"/>
        </w:rPr>
        <w:t>„Zakupy oleju napędowego w stacji paliw wskazanej przez Wykonawcę dokonywane będą przez Zamawiającego w cenach oleju napędowego producenta krajowego tj.PKN ORLEN S.A podanych na stronie internetowej: http://www.orlen.pl na dzień dokonania zakupu przeliczonych na  1 litr oleju napędowego z VAT, pomniejszonych o upust określony w ofercie Wykonawcy…z VAT za 1 litr oleju napędowego, który jest stały przez okres trwania umowy?</w:t>
      </w:r>
    </w:p>
    <w:p w:rsidR="001C79FB" w:rsidRPr="001C79FB" w:rsidRDefault="001C79FB" w:rsidP="00AC53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C79FB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1C79FB" w:rsidRPr="001C79FB" w:rsidRDefault="001C79FB" w:rsidP="00AC53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C79FB">
        <w:rPr>
          <w:rFonts w:ascii="Tahoma" w:eastAsia="Times New Roman" w:hAnsi="Tahoma" w:cs="Tahoma"/>
          <w:b/>
          <w:sz w:val="20"/>
          <w:szCs w:val="20"/>
          <w:lang w:eastAsia="pl-PL"/>
        </w:rPr>
        <w:t>Odpowiedzi w tym zakresie udzielono na pytanie nr 6.</w:t>
      </w:r>
    </w:p>
    <w:p w:rsidR="001C79FB" w:rsidRPr="00AC538D" w:rsidRDefault="001C79FB" w:rsidP="00AC53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8490D" w:rsidRPr="0058490D" w:rsidRDefault="0058490D" w:rsidP="0058490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14</w:t>
      </w: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AC538D" w:rsidRPr="00AC538D" w:rsidRDefault="00AC538D" w:rsidP="00AC53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C538D">
        <w:rPr>
          <w:rFonts w:ascii="Tahoma" w:eastAsia="Times New Roman" w:hAnsi="Tahoma" w:cs="Tahoma"/>
          <w:sz w:val="20"/>
          <w:szCs w:val="20"/>
          <w:lang w:eastAsia="pl-PL"/>
        </w:rPr>
        <w:t xml:space="preserve">Czy Zamawiający, w przypadku braku zgody na Program „Twoja Lokalna Stacja” wyrazi  zgodę na odstąpienie od marży liczonej w % i zaakceptuje marże w  PLN (projekt umowy  § 2 ust 1 ) a tym samym dokona zmiany w formularzu ofertowym  pkt. 2? </w:t>
      </w:r>
    </w:p>
    <w:p w:rsidR="0058490D" w:rsidRDefault="00AC538D" w:rsidP="00AC53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C538D">
        <w:rPr>
          <w:rFonts w:ascii="Tahoma" w:eastAsia="Times New Roman" w:hAnsi="Tahoma" w:cs="Tahoma"/>
          <w:sz w:val="20"/>
          <w:szCs w:val="20"/>
          <w:lang w:eastAsia="pl-PL"/>
        </w:rPr>
        <w:t>Wykonawca udziela marży tylko w PLN.</w:t>
      </w:r>
    </w:p>
    <w:p w:rsidR="001C79FB" w:rsidRPr="001C79FB" w:rsidRDefault="001C79FB" w:rsidP="001C79F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C79FB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1C79FB" w:rsidRPr="001C79FB" w:rsidRDefault="001C79FB" w:rsidP="001C79F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C79FB">
        <w:rPr>
          <w:rFonts w:ascii="Tahoma" w:eastAsia="Times New Roman" w:hAnsi="Tahoma" w:cs="Tahoma"/>
          <w:b/>
          <w:sz w:val="20"/>
          <w:szCs w:val="20"/>
          <w:lang w:eastAsia="pl-PL"/>
        </w:rPr>
        <w:t>Zamawiający podtrzymuje w tym zakresie dotychczasowe zapisy SIWZ.</w:t>
      </w:r>
    </w:p>
    <w:p w:rsidR="001C79FB" w:rsidRDefault="001C79FB" w:rsidP="00AC53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C79FB" w:rsidRPr="00AC538D" w:rsidRDefault="001C79FB" w:rsidP="00AC53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8490D" w:rsidRPr="0058490D" w:rsidRDefault="0058490D" w:rsidP="0058490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15</w:t>
      </w: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58490D" w:rsidRDefault="00AC538D" w:rsidP="00E93C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C538D">
        <w:rPr>
          <w:rFonts w:ascii="Tahoma" w:eastAsia="Times New Roman" w:hAnsi="Tahoma" w:cs="Tahoma"/>
          <w:sz w:val="20"/>
          <w:szCs w:val="20"/>
          <w:lang w:eastAsia="pl-PL"/>
        </w:rPr>
        <w:t>Czy Zamawiający wyrazi zgodę  po wyłonieniu Wykonawcy podpisania umowy droga korespondencyjną  formularzu ofertowym  pkt. 7?</w:t>
      </w:r>
    </w:p>
    <w:p w:rsidR="001C79FB" w:rsidRPr="001C79FB" w:rsidRDefault="001C79FB" w:rsidP="001C79F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C79FB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1C79FB" w:rsidRDefault="001C79FB" w:rsidP="001C79F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C79F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Zamawiający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dopuszcza taką możliwość.</w:t>
      </w:r>
    </w:p>
    <w:p w:rsidR="001C79FB" w:rsidRPr="00AC538D" w:rsidRDefault="001C79FB" w:rsidP="00E93C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8490D" w:rsidRPr="0058490D" w:rsidRDefault="0058490D" w:rsidP="0058490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Pr="0058490D">
        <w:rPr>
          <w:rFonts w:ascii="Tahoma" w:eastAsia="Times New Roman" w:hAnsi="Tahoma" w:cs="Tahoma"/>
          <w:b/>
          <w:sz w:val="20"/>
          <w:szCs w:val="20"/>
          <w:lang w:eastAsia="pl-PL"/>
        </w:rPr>
        <w:t>6:</w:t>
      </w:r>
    </w:p>
    <w:p w:rsidR="0058490D" w:rsidRPr="00AC538D" w:rsidRDefault="00AC538D" w:rsidP="00E93C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C538D">
        <w:rPr>
          <w:rFonts w:ascii="Tahoma" w:eastAsia="Times New Roman" w:hAnsi="Tahoma" w:cs="Tahoma"/>
          <w:sz w:val="20"/>
          <w:szCs w:val="20"/>
          <w:lang w:eastAsia="pl-PL"/>
        </w:rPr>
        <w:t>Czy Zamawiający dopuszcza możliwość dołączenia już do właściwej umowy (po wyborze oferenta) załącznika w postaci Ogólnych Warunków Sprzedaży i Używania Kart Paliwowych Wykonawcy z dnia 24.5.2018 r, -  w odniesieniu do kwestii nie uregulowanych w umowie (wskazany regulamin stanowi załącznik niniejszej korespondencji)?</w:t>
      </w:r>
    </w:p>
    <w:p w:rsidR="003B68CE" w:rsidRPr="003B68CE" w:rsidRDefault="003B68CE" w:rsidP="003B68C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68CE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3B68CE" w:rsidRPr="003B68CE" w:rsidRDefault="003B68CE" w:rsidP="003B68C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68C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zawiązku z odpowiedzią na pytanie nr 1 Zamawiający nie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dopuszcza takiej możliwości.</w:t>
      </w:r>
    </w:p>
    <w:p w:rsidR="0058490D" w:rsidRDefault="0058490D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8490D" w:rsidRPr="00E93CE4" w:rsidRDefault="0058490D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941E7" w:rsidRDefault="009941E7" w:rsidP="0042443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06B93" w:rsidRPr="00006B93" w:rsidRDefault="00006B93" w:rsidP="00006B9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06B93" w:rsidRDefault="00006B93" w:rsidP="00006B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Udzielone wyjaśnienia </w:t>
      </w:r>
      <w:r w:rsidR="00FB1BD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stanowią integralną część Specyfikacji Istotnych Warunków Zamówienia oraz </w:t>
      </w:r>
      <w:r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>są wiążące dla wszystkich wykonawców, którzy przystąpią do udziału w postępowaniu i pozostają bez wpływu na termin składania ofert określony w ogłoszeniu  o zamówieniu i SIWZ.</w:t>
      </w:r>
      <w:r w:rsidR="00BA6103"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Biorąc pod uwagę powyższe wykonawcy </w:t>
      </w:r>
      <w:r w:rsidR="00F858C4"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 przygotowywaniu oferty </w:t>
      </w:r>
      <w:r w:rsidR="00BA6103"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>zobowiązani są uwzględnić powyższe doprecyzo</w:t>
      </w:r>
      <w:r w:rsidR="00F858C4"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>wania</w:t>
      </w:r>
      <w:r w:rsidR="00F858C4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1E2AB4" w:rsidRDefault="001E2AB4" w:rsidP="00006B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06B93" w:rsidRPr="001E2AB4" w:rsidRDefault="00006B93" w:rsidP="00006B93">
      <w:pPr>
        <w:jc w:val="both"/>
        <w:rPr>
          <w:rFonts w:ascii="Tahoma" w:hAnsi="Tahoma" w:cs="Tahoma"/>
          <w:b/>
          <w:sz w:val="24"/>
          <w:szCs w:val="24"/>
        </w:rPr>
      </w:pPr>
    </w:p>
    <w:p w:rsidR="000B4BA0" w:rsidRPr="00006B93" w:rsidRDefault="000B4BA0" w:rsidP="004B149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0B4BA0" w:rsidRPr="00006B93" w:rsidSect="00FE3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E66" w:rsidRDefault="000B7E66" w:rsidP="00B76C3B">
      <w:pPr>
        <w:spacing w:after="0" w:line="240" w:lineRule="auto"/>
      </w:pPr>
      <w:r>
        <w:separator/>
      </w:r>
    </w:p>
  </w:endnote>
  <w:endnote w:type="continuationSeparator" w:id="0">
    <w:p w:rsidR="000B7E66" w:rsidRDefault="000B7E66" w:rsidP="00B7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1610"/>
      <w:docPartObj>
        <w:docPartGallery w:val="Page Numbers (Bottom of Page)"/>
        <w:docPartUnique/>
      </w:docPartObj>
    </w:sdtPr>
    <w:sdtEndPr/>
    <w:sdtContent>
      <w:p w:rsidR="00B76C3B" w:rsidRDefault="00920611">
        <w:pPr>
          <w:pStyle w:val="Stopk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39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6C3B" w:rsidRDefault="00B76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E66" w:rsidRDefault="000B7E66" w:rsidP="00B76C3B">
      <w:pPr>
        <w:spacing w:after="0" w:line="240" w:lineRule="auto"/>
      </w:pPr>
      <w:r>
        <w:separator/>
      </w:r>
    </w:p>
  </w:footnote>
  <w:footnote w:type="continuationSeparator" w:id="0">
    <w:p w:rsidR="000B7E66" w:rsidRDefault="000B7E66" w:rsidP="00B76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BAE"/>
    <w:multiLevelType w:val="hybridMultilevel"/>
    <w:tmpl w:val="1C8EC8AC"/>
    <w:lvl w:ilvl="0" w:tplc="029453A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3659E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2CF0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09FF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66B0"/>
    <w:multiLevelType w:val="multilevel"/>
    <w:tmpl w:val="76B80DBE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D42FBE"/>
    <w:multiLevelType w:val="hybridMultilevel"/>
    <w:tmpl w:val="6ADAB8A0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27C2E28"/>
    <w:multiLevelType w:val="multilevel"/>
    <w:tmpl w:val="941EBD6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DF2B85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5B117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73F03"/>
    <w:multiLevelType w:val="hybridMultilevel"/>
    <w:tmpl w:val="3D16E1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DB2B06"/>
    <w:multiLevelType w:val="hybridMultilevel"/>
    <w:tmpl w:val="75FC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124F3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727F"/>
    <w:multiLevelType w:val="multilevel"/>
    <w:tmpl w:val="1BC6CC4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C4BCA"/>
    <w:multiLevelType w:val="multilevel"/>
    <w:tmpl w:val="24264B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4F0058"/>
    <w:multiLevelType w:val="hybridMultilevel"/>
    <w:tmpl w:val="A126D31C"/>
    <w:lvl w:ilvl="0" w:tplc="948E6FB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53FD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C4D41"/>
    <w:multiLevelType w:val="hybridMultilevel"/>
    <w:tmpl w:val="0CA0A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73815"/>
    <w:multiLevelType w:val="multilevel"/>
    <w:tmpl w:val="8DF6BAB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CE1DC9"/>
    <w:multiLevelType w:val="hybridMultilevel"/>
    <w:tmpl w:val="19A6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06AE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E6C8F"/>
    <w:multiLevelType w:val="hybridMultilevel"/>
    <w:tmpl w:val="BE126F56"/>
    <w:lvl w:ilvl="0" w:tplc="9000D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326CE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56204"/>
    <w:multiLevelType w:val="hybridMultilevel"/>
    <w:tmpl w:val="62E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34B6D"/>
    <w:multiLevelType w:val="hybridMultilevel"/>
    <w:tmpl w:val="C20C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BD65F5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4280B"/>
    <w:multiLevelType w:val="hybridMultilevel"/>
    <w:tmpl w:val="F530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52651"/>
    <w:multiLevelType w:val="hybridMultilevel"/>
    <w:tmpl w:val="5F247C7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FEE01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A3DB5"/>
    <w:multiLevelType w:val="hybridMultilevel"/>
    <w:tmpl w:val="7C10E18C"/>
    <w:lvl w:ilvl="0" w:tplc="3746F532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7E166F5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8"/>
  </w:num>
  <w:num w:numId="5">
    <w:abstractNumId w:val="24"/>
  </w:num>
  <w:num w:numId="6">
    <w:abstractNumId w:val="25"/>
  </w:num>
  <w:num w:numId="7">
    <w:abstractNumId w:val="3"/>
  </w:num>
  <w:num w:numId="8">
    <w:abstractNumId w:val="11"/>
  </w:num>
  <w:num w:numId="9">
    <w:abstractNumId w:val="20"/>
  </w:num>
  <w:num w:numId="10">
    <w:abstractNumId w:val="12"/>
  </w:num>
  <w:num w:numId="11">
    <w:abstractNumId w:val="29"/>
  </w:num>
  <w:num w:numId="12">
    <w:abstractNumId w:val="27"/>
  </w:num>
  <w:num w:numId="13">
    <w:abstractNumId w:val="18"/>
  </w:num>
  <w:num w:numId="14">
    <w:abstractNumId w:val="7"/>
  </w:num>
  <w:num w:numId="15">
    <w:abstractNumId w:val="28"/>
  </w:num>
  <w:num w:numId="16">
    <w:abstractNumId w:val="2"/>
  </w:num>
  <w:num w:numId="17">
    <w:abstractNumId w:val="14"/>
  </w:num>
  <w:num w:numId="18">
    <w:abstractNumId w:val="22"/>
  </w:num>
  <w:num w:numId="19">
    <w:abstractNumId w:val="30"/>
  </w:num>
  <w:num w:numId="20">
    <w:abstractNumId w:val="16"/>
  </w:num>
  <w:num w:numId="21">
    <w:abstractNumId w:val="21"/>
  </w:num>
  <w:num w:numId="22">
    <w:abstractNumId w:val="0"/>
  </w:num>
  <w:num w:numId="23">
    <w:abstractNumId w:val="4"/>
  </w:num>
  <w:num w:numId="24">
    <w:abstractNumId w:val="1"/>
  </w:num>
  <w:num w:numId="25">
    <w:abstractNumId w:val="9"/>
  </w:num>
  <w:num w:numId="26">
    <w:abstractNumId w:val="26"/>
  </w:num>
  <w:num w:numId="27">
    <w:abstractNumId w:val="5"/>
  </w:num>
  <w:num w:numId="28">
    <w:abstractNumId w:val="10"/>
  </w:num>
  <w:num w:numId="29">
    <w:abstractNumId w:val="17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69F"/>
    <w:rsid w:val="00006B93"/>
    <w:rsid w:val="000145ED"/>
    <w:rsid w:val="00017BB0"/>
    <w:rsid w:val="000420A3"/>
    <w:rsid w:val="00042B3A"/>
    <w:rsid w:val="00057D88"/>
    <w:rsid w:val="00085D35"/>
    <w:rsid w:val="000B4BA0"/>
    <w:rsid w:val="000B7E66"/>
    <w:rsid w:val="000C6E29"/>
    <w:rsid w:val="000E4969"/>
    <w:rsid w:val="000F2012"/>
    <w:rsid w:val="00100C9A"/>
    <w:rsid w:val="00102EAF"/>
    <w:rsid w:val="00103B78"/>
    <w:rsid w:val="00181ED4"/>
    <w:rsid w:val="00193987"/>
    <w:rsid w:val="001B0AF5"/>
    <w:rsid w:val="001B761A"/>
    <w:rsid w:val="001C79FB"/>
    <w:rsid w:val="001D4A61"/>
    <w:rsid w:val="001E2AB4"/>
    <w:rsid w:val="001E3DCF"/>
    <w:rsid w:val="0021110F"/>
    <w:rsid w:val="00220551"/>
    <w:rsid w:val="00241330"/>
    <w:rsid w:val="002977E2"/>
    <w:rsid w:val="002A213F"/>
    <w:rsid w:val="002A7CB9"/>
    <w:rsid w:val="002E1D52"/>
    <w:rsid w:val="003159B4"/>
    <w:rsid w:val="0032730F"/>
    <w:rsid w:val="00331202"/>
    <w:rsid w:val="003535DB"/>
    <w:rsid w:val="003700D6"/>
    <w:rsid w:val="00374863"/>
    <w:rsid w:val="00374903"/>
    <w:rsid w:val="003750E7"/>
    <w:rsid w:val="003B2E40"/>
    <w:rsid w:val="003B68CE"/>
    <w:rsid w:val="003D22DC"/>
    <w:rsid w:val="003D38F6"/>
    <w:rsid w:val="003E4F0E"/>
    <w:rsid w:val="003E5674"/>
    <w:rsid w:val="003F7A37"/>
    <w:rsid w:val="00424435"/>
    <w:rsid w:val="00437958"/>
    <w:rsid w:val="004467E3"/>
    <w:rsid w:val="00453B12"/>
    <w:rsid w:val="00461C47"/>
    <w:rsid w:val="004701F5"/>
    <w:rsid w:val="00473AF6"/>
    <w:rsid w:val="004913F8"/>
    <w:rsid w:val="004A78FF"/>
    <w:rsid w:val="004B149F"/>
    <w:rsid w:val="004D069F"/>
    <w:rsid w:val="004D38C4"/>
    <w:rsid w:val="004F176A"/>
    <w:rsid w:val="00505061"/>
    <w:rsid w:val="00551F6D"/>
    <w:rsid w:val="0058490D"/>
    <w:rsid w:val="00590110"/>
    <w:rsid w:val="00593CE6"/>
    <w:rsid w:val="005A19A0"/>
    <w:rsid w:val="005E07D2"/>
    <w:rsid w:val="005E76E0"/>
    <w:rsid w:val="006135B6"/>
    <w:rsid w:val="00643FAA"/>
    <w:rsid w:val="006B407F"/>
    <w:rsid w:val="006C6E7A"/>
    <w:rsid w:val="006D7E92"/>
    <w:rsid w:val="006F6CFC"/>
    <w:rsid w:val="007016EE"/>
    <w:rsid w:val="00707F37"/>
    <w:rsid w:val="00774837"/>
    <w:rsid w:val="007C1DD1"/>
    <w:rsid w:val="007C63AA"/>
    <w:rsid w:val="008525CF"/>
    <w:rsid w:val="00856FDA"/>
    <w:rsid w:val="00864B46"/>
    <w:rsid w:val="0086510C"/>
    <w:rsid w:val="008A3542"/>
    <w:rsid w:val="008A7FEA"/>
    <w:rsid w:val="008B1022"/>
    <w:rsid w:val="008C24DC"/>
    <w:rsid w:val="008E5555"/>
    <w:rsid w:val="008E62A2"/>
    <w:rsid w:val="00914F39"/>
    <w:rsid w:val="00920611"/>
    <w:rsid w:val="0092533B"/>
    <w:rsid w:val="009352A7"/>
    <w:rsid w:val="00950C4B"/>
    <w:rsid w:val="00986980"/>
    <w:rsid w:val="00993FFA"/>
    <w:rsid w:val="009941E7"/>
    <w:rsid w:val="00994486"/>
    <w:rsid w:val="009C0928"/>
    <w:rsid w:val="00A12727"/>
    <w:rsid w:val="00A70533"/>
    <w:rsid w:val="00A85260"/>
    <w:rsid w:val="00A908A3"/>
    <w:rsid w:val="00AC0028"/>
    <w:rsid w:val="00AC538D"/>
    <w:rsid w:val="00B0489A"/>
    <w:rsid w:val="00B06006"/>
    <w:rsid w:val="00B10554"/>
    <w:rsid w:val="00B76C3B"/>
    <w:rsid w:val="00B771E4"/>
    <w:rsid w:val="00B9160A"/>
    <w:rsid w:val="00B93B52"/>
    <w:rsid w:val="00BA6103"/>
    <w:rsid w:val="00C0302F"/>
    <w:rsid w:val="00C2128C"/>
    <w:rsid w:val="00C40C74"/>
    <w:rsid w:val="00C5511C"/>
    <w:rsid w:val="00C665EF"/>
    <w:rsid w:val="00C86C94"/>
    <w:rsid w:val="00CB1DFA"/>
    <w:rsid w:val="00CB6A5C"/>
    <w:rsid w:val="00CB71D4"/>
    <w:rsid w:val="00CD3944"/>
    <w:rsid w:val="00CE7BF3"/>
    <w:rsid w:val="00CF119D"/>
    <w:rsid w:val="00CF787A"/>
    <w:rsid w:val="00D13EF9"/>
    <w:rsid w:val="00D31080"/>
    <w:rsid w:val="00D54B01"/>
    <w:rsid w:val="00D61EF1"/>
    <w:rsid w:val="00DB0745"/>
    <w:rsid w:val="00DC29EC"/>
    <w:rsid w:val="00DD5675"/>
    <w:rsid w:val="00E93CE4"/>
    <w:rsid w:val="00E953F2"/>
    <w:rsid w:val="00EC2477"/>
    <w:rsid w:val="00ED2D21"/>
    <w:rsid w:val="00ED6015"/>
    <w:rsid w:val="00ED6748"/>
    <w:rsid w:val="00EE174E"/>
    <w:rsid w:val="00EE6A8C"/>
    <w:rsid w:val="00EF4651"/>
    <w:rsid w:val="00F01F9B"/>
    <w:rsid w:val="00F21979"/>
    <w:rsid w:val="00F33BE4"/>
    <w:rsid w:val="00F36FA4"/>
    <w:rsid w:val="00F858C4"/>
    <w:rsid w:val="00FA2E2F"/>
    <w:rsid w:val="00FA51D3"/>
    <w:rsid w:val="00FB1BDF"/>
    <w:rsid w:val="00FB385F"/>
    <w:rsid w:val="00FC5367"/>
    <w:rsid w:val="00FE37D4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504B3-6C3C-4A71-B986-BC0B8849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6C6E7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C6E7A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E7A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6C6E7A"/>
  </w:style>
  <w:style w:type="character" w:customStyle="1" w:styleId="Teksttreci11">
    <w:name w:val="Tekst treści (11)_"/>
    <w:basedOn w:val="Domylnaczcionkaakapitu"/>
    <w:link w:val="Teksttreci1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C6E7A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C6E7A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6C6E7A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6C6E7A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6C6E7A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6C6E7A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C6E7A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6C6E7A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6C6E7A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6C6E7A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6C6E7A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6C6E7A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6C6E7A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6C6E7A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6C6E7A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A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6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0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3">
    <w:name w:val="Normalny3"/>
    <w:basedOn w:val="Normalny"/>
    <w:rsid w:val="00017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701F5"/>
    <w:rPr>
      <w:i/>
      <w:iCs/>
    </w:rPr>
  </w:style>
  <w:style w:type="character" w:styleId="Pogrubienie">
    <w:name w:val="Strong"/>
    <w:basedOn w:val="Domylnaczcionkaakapitu"/>
    <w:uiPriority w:val="22"/>
    <w:qFormat/>
    <w:rsid w:val="00B916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160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9160A"/>
  </w:style>
  <w:style w:type="paragraph" w:styleId="Bezodstpw">
    <w:name w:val="No Spacing"/>
    <w:aliases w:val="Podpunkt 3"/>
    <w:uiPriority w:val="1"/>
    <w:qFormat/>
    <w:rsid w:val="0092533B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53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533B"/>
  </w:style>
  <w:style w:type="paragraph" w:styleId="Nagwek">
    <w:name w:val="header"/>
    <w:basedOn w:val="Normalny"/>
    <w:link w:val="NagwekZnak"/>
    <w:uiPriority w:val="99"/>
    <w:semiHidden/>
    <w:unhideWhenUsed/>
    <w:rsid w:val="00B7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C3B"/>
  </w:style>
  <w:style w:type="paragraph" w:styleId="Stopka">
    <w:name w:val="footer"/>
    <w:basedOn w:val="Normalny"/>
    <w:link w:val="StopkaZnak"/>
    <w:uiPriority w:val="99"/>
    <w:unhideWhenUsed/>
    <w:rsid w:val="00B7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5F73-62EC-44CA-B12B-1FF600E9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2156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Glapiński</dc:creator>
  <cp:keywords/>
  <dc:description/>
  <cp:lastModifiedBy>User</cp:lastModifiedBy>
  <cp:revision>12</cp:revision>
  <cp:lastPrinted>2019-09-10T06:41:00Z</cp:lastPrinted>
  <dcterms:created xsi:type="dcterms:W3CDTF">2019-05-21T16:47:00Z</dcterms:created>
  <dcterms:modified xsi:type="dcterms:W3CDTF">2019-09-10T11:52:00Z</dcterms:modified>
</cp:coreProperties>
</file>